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10865">
        <w:tc>
          <w:tcPr>
            <w:tcW w:w="509" w:type="dxa"/>
          </w:tcPr>
          <w:p w:rsidR="00110865" w:rsidRDefault="00943B26">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10865" w:rsidRDefault="00943B26">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sz w:val="21"/>
                <w:szCs w:val="21"/>
              </w:rPr>
              <w:t xml:space="preserve">11.020 </w:t>
            </w:r>
            <w:bookmarkEnd w:id="1"/>
            <w:r>
              <w:rPr>
                <w:rFonts w:ascii="黑体" w:eastAsia="黑体" w:hAnsi="黑体"/>
                <w:sz w:val="21"/>
                <w:szCs w:val="21"/>
              </w:rPr>
              <w:fldChar w:fldCharType="end"/>
            </w:r>
            <w:bookmarkEnd w:id="0"/>
          </w:p>
        </w:tc>
      </w:tr>
      <w:tr w:rsidR="00110865">
        <w:tc>
          <w:tcPr>
            <w:tcW w:w="509" w:type="dxa"/>
          </w:tcPr>
          <w:p w:rsidR="00110865" w:rsidRDefault="00943B26">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10865">
              <w:trPr>
                <w:trHeight w:hRule="exact" w:val="1021"/>
              </w:trPr>
              <w:tc>
                <w:tcPr>
                  <w:tcW w:w="9242" w:type="dxa"/>
                  <w:vAlign w:val="center"/>
                </w:tcPr>
                <w:p w:rsidR="00110865" w:rsidRDefault="00943B26" w:rsidP="00FC5BA8">
                  <w:pPr>
                    <w:pStyle w:val="afffff7"/>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rsidR="00110865" w:rsidRDefault="00943B26">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3"/>
          </w:p>
        </w:tc>
      </w:tr>
    </w:tbl>
    <w:p w:rsidR="00110865" w:rsidRDefault="00943B26">
      <w:pPr>
        <w:pStyle w:val="afffff8"/>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110865" w:rsidRDefault="00943B26">
      <w:pPr>
        <w:pStyle w:val="affffffffffa"/>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110865" w:rsidRDefault="00943B26">
      <w:pPr>
        <w:pStyle w:val="affffffffffb"/>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10865" w:rsidRDefault="00943B2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10865" w:rsidRDefault="00110865">
      <w:pPr>
        <w:pStyle w:val="afffff8"/>
        <w:framePr w:w="9639" w:h="6976" w:hRule="exact" w:hSpace="0" w:vSpace="0" w:wrap="around" w:hAnchor="page" w:y="6408"/>
        <w:jc w:val="center"/>
        <w:rPr>
          <w:rFonts w:ascii="黑体" w:eastAsia="黑体" w:hAnsi="黑体"/>
          <w:b w:val="0"/>
          <w:bCs w:val="0"/>
          <w:w w:val="100"/>
        </w:rPr>
      </w:pPr>
    </w:p>
    <w:p w:rsidR="00110865" w:rsidRDefault="00943B26">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5"/>
      <w:r>
        <w:t>HIV感染儿童抗病毒治疗及随访管理规范</w:t>
      </w:r>
      <w:bookmarkEnd w:id="10"/>
      <w:r>
        <w:fldChar w:fldCharType="end"/>
      </w:r>
      <w:bookmarkEnd w:id="9"/>
    </w:p>
    <w:p w:rsidR="00110865" w:rsidRDefault="00110865">
      <w:pPr>
        <w:framePr w:w="9639" w:h="6974" w:hRule="exact" w:wrap="around" w:vAnchor="page" w:hAnchor="page" w:x="1419" w:y="6408" w:anchorLock="1"/>
        <w:ind w:left="-1418"/>
      </w:pPr>
    </w:p>
    <w:p w:rsidR="00110865" w:rsidRDefault="00943B26">
      <w:pPr>
        <w:pStyle w:val="affffffff0"/>
        <w:framePr w:w="9639" w:h="6974" w:hRule="exact" w:wrap="around" w:vAnchor="page" w:hAnchor="page" w:x="1419" w:y="6408" w:anchorLock="1"/>
        <w:spacing w:line="360" w:lineRule="auto"/>
        <w:textAlignment w:val="bottom"/>
        <w:rPr>
          <w:rFonts w:ascii="黑体" w:eastAsia="黑体" w:hAnsi="黑体"/>
          <w:szCs w:val="28"/>
        </w:rPr>
      </w:pPr>
      <w:r>
        <w:rPr>
          <w:rFonts w:ascii="黑体" w:eastAsia="黑体" w:hAnsi="黑体"/>
          <w:sz w:val="32"/>
          <w:szCs w:val="32"/>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 w:val="32"/>
          <w:szCs w:val="32"/>
        </w:rPr>
        <w:instrText xml:space="preserve"> FORMTEXT </w:instrText>
      </w:r>
      <w:r>
        <w:rPr>
          <w:rFonts w:ascii="黑体" w:eastAsia="黑体" w:hAnsi="黑体"/>
          <w:sz w:val="32"/>
          <w:szCs w:val="32"/>
        </w:rPr>
      </w:r>
      <w:r>
        <w:rPr>
          <w:rFonts w:ascii="黑体" w:eastAsia="黑体" w:hAnsi="黑体"/>
          <w:sz w:val="32"/>
          <w:szCs w:val="32"/>
        </w:rPr>
        <w:fldChar w:fldCharType="separate"/>
      </w:r>
      <w:r>
        <w:rPr>
          <w:rFonts w:ascii="黑体" w:eastAsia="黑体" w:hAnsi="黑体"/>
          <w:sz w:val="32"/>
          <w:szCs w:val="32"/>
        </w:rPr>
        <w:t>S</w:t>
      </w:r>
      <w:bookmarkStart w:id="12" w:name="OLE_LINK3"/>
      <w:bookmarkStart w:id="13" w:name="OLE_LINK1"/>
      <w:r>
        <w:rPr>
          <w:rFonts w:ascii="黑体" w:eastAsia="黑体" w:hAnsi="黑体"/>
          <w:sz w:val="32"/>
          <w:szCs w:val="32"/>
        </w:rPr>
        <w:t>pecifications for antiretroviral therapy and follow-up management of children living with HIV</w:t>
      </w:r>
      <w:bookmarkEnd w:id="12"/>
      <w:bookmarkEnd w:id="13"/>
      <w:r>
        <w:rPr>
          <w:rFonts w:ascii="黑体" w:eastAsia="黑体" w:hAnsi="黑体"/>
          <w:sz w:val="32"/>
          <w:szCs w:val="32"/>
        </w:rPr>
        <w:fldChar w:fldCharType="end"/>
      </w:r>
      <w:bookmarkEnd w:id="11"/>
    </w:p>
    <w:p w:rsidR="00110865" w:rsidRDefault="00110865">
      <w:pPr>
        <w:framePr w:w="9639" w:h="6974" w:hRule="exact" w:wrap="around" w:vAnchor="page" w:hAnchor="page" w:x="1419" w:y="6408" w:anchorLock="1"/>
        <w:spacing w:line="760" w:lineRule="exact"/>
        <w:ind w:left="-1418"/>
      </w:pPr>
    </w:p>
    <w:p w:rsidR="00110865" w:rsidRDefault="00110865">
      <w:pPr>
        <w:pStyle w:val="affffffff0"/>
        <w:framePr w:w="9639" w:h="6974" w:hRule="exact" w:wrap="around" w:vAnchor="page" w:hAnchor="page" w:x="1419" w:y="6408" w:anchorLock="1"/>
        <w:textAlignment w:val="bottom"/>
        <w:rPr>
          <w:rFonts w:eastAsia="黑体"/>
          <w:szCs w:val="28"/>
        </w:rPr>
      </w:pPr>
    </w:p>
    <w:p w:rsidR="00110865" w:rsidRDefault="00943B26">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4" w:name="下拉1"/>
      <w:r>
        <w:rPr>
          <w:sz w:val="24"/>
          <w:szCs w:val="28"/>
        </w:rPr>
        <w:instrText xml:space="preserve"> FORMDROPDOWN </w:instrText>
      </w:r>
      <w:r w:rsidR="00335818">
        <w:rPr>
          <w:sz w:val="24"/>
          <w:szCs w:val="28"/>
        </w:rPr>
      </w:r>
      <w:r w:rsidR="00335818">
        <w:rPr>
          <w:sz w:val="24"/>
          <w:szCs w:val="28"/>
        </w:rPr>
        <w:fldChar w:fldCharType="separate"/>
      </w:r>
      <w:r>
        <w:rPr>
          <w:sz w:val="24"/>
          <w:szCs w:val="28"/>
        </w:rPr>
        <w:fldChar w:fldCharType="end"/>
      </w:r>
      <w:bookmarkEnd w:id="14"/>
    </w:p>
    <w:p w:rsidR="00110865" w:rsidRDefault="00943B26">
      <w:pPr>
        <w:pStyle w:val="af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5"/>
    </w:p>
    <w:p w:rsidR="00110865" w:rsidRDefault="00943B26">
      <w:pPr>
        <w:pStyle w:val="af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6" w:name="下拉2"/>
      <w:r>
        <w:rPr>
          <w:b/>
          <w:sz w:val="21"/>
          <w:szCs w:val="28"/>
        </w:rPr>
        <w:instrText xml:space="preserve"> FORMDROPDOWN </w:instrText>
      </w:r>
      <w:r w:rsidR="00335818">
        <w:rPr>
          <w:b/>
          <w:sz w:val="21"/>
          <w:szCs w:val="28"/>
        </w:rPr>
      </w:r>
      <w:r w:rsidR="00335818">
        <w:rPr>
          <w:b/>
          <w:sz w:val="21"/>
          <w:szCs w:val="28"/>
        </w:rPr>
        <w:fldChar w:fldCharType="separate"/>
      </w:r>
      <w:r>
        <w:rPr>
          <w:b/>
          <w:sz w:val="21"/>
          <w:szCs w:val="28"/>
        </w:rPr>
        <w:fldChar w:fldCharType="end"/>
      </w:r>
      <w:bookmarkEnd w:id="16"/>
    </w:p>
    <w:p w:rsidR="00110865" w:rsidRDefault="00943B26">
      <w:pPr>
        <w:pStyle w:val="affffffffff8"/>
        <w:framePr w:wrap="around" w:y="14176"/>
      </w:pPr>
      <w:r>
        <w:rPr>
          <w:rFonts w:ascii="黑体"/>
        </w:rPr>
        <w:fldChar w:fldCharType="begin">
          <w:ffData>
            <w:name w:val="PLSH_DATE_Y"/>
            <w:enabled/>
            <w:calcOnExit w:val="0"/>
            <w:textInput>
              <w:default w:val="XXXX"/>
              <w:maxLength w:val="4"/>
            </w:textInput>
          </w:ffData>
        </w:fldChar>
      </w:r>
      <w:bookmarkStart w:id="17"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发布</w:t>
      </w:r>
    </w:p>
    <w:p w:rsidR="00110865" w:rsidRDefault="00943B26">
      <w:pPr>
        <w:pStyle w:val="affffffffff9"/>
        <w:framePr w:wrap="around" w:y="14176"/>
      </w:pPr>
      <w:r>
        <w:rPr>
          <w:rFonts w:ascii="黑体"/>
        </w:rPr>
        <w:fldChar w:fldCharType="begin">
          <w:ffData>
            <w:name w:val="CROT_DATE_Y"/>
            <w:enabled/>
            <w:calcOnExit w:val="0"/>
            <w:textInput>
              <w:default w:val="XXXX"/>
              <w:maxLength w:val="4"/>
            </w:textInput>
          </w:ffData>
        </w:fldChar>
      </w:r>
      <w:bookmarkStart w:id="20"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2"/>
      <w:r>
        <w:rPr>
          <w:rFonts w:hint="eastAsia"/>
        </w:rPr>
        <w:t>实施</w:t>
      </w:r>
    </w:p>
    <w:p w:rsidR="00110865" w:rsidRDefault="00943B26">
      <w:pPr>
        <w:pStyle w:val="afffffffff0"/>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3"/>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rsidR="00110865" w:rsidRDefault="00943B26">
      <w:pPr>
        <w:rPr>
          <w:rFonts w:ascii="宋体" w:hAnsi="宋体"/>
          <w:sz w:val="28"/>
          <w:szCs w:val="28"/>
        </w:rPr>
        <w:sectPr w:rsidR="0011086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10865" w:rsidRDefault="00943B26">
      <w:pPr>
        <w:pStyle w:val="afffffff2"/>
        <w:spacing w:after="360"/>
      </w:pPr>
      <w:bookmarkStart w:id="24" w:name="BookMark1"/>
      <w:bookmarkStart w:id="25" w:name="_Toc224929952"/>
      <w:bookmarkStart w:id="26" w:name="_Toc216431465"/>
      <w:bookmarkStart w:id="27" w:name="_Toc216451293"/>
      <w:bookmarkStart w:id="28" w:name="_Toc216451265"/>
      <w:bookmarkStart w:id="29" w:name="_Toc224931445"/>
      <w:r>
        <w:rPr>
          <w:rFonts w:hint="eastAsia"/>
          <w:spacing w:val="320"/>
        </w:rPr>
        <w:lastRenderedPageBreak/>
        <w:t>目</w:t>
      </w:r>
      <w:r>
        <w:rPr>
          <w:rFonts w:hint="eastAsia"/>
        </w:rPr>
        <w:t>次</w:t>
      </w:r>
    </w:p>
    <w:p w:rsidR="00110865" w:rsidRDefault="00943B26">
      <w:pPr>
        <w:pStyle w:val="TOC1"/>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w:instrText>
      </w:r>
      <w:r>
        <w:fldChar w:fldCharType="separate"/>
      </w:r>
      <w:hyperlink w:anchor="_Toc224931554" w:history="1">
        <w:r>
          <w:rPr>
            <w:rStyle w:val="afffff2"/>
            <w:rFonts w:hint="eastAsia"/>
          </w:rPr>
          <w:t>前言</w:t>
        </w:r>
        <w:r>
          <w:rPr>
            <w:rFonts w:hint="eastAsia"/>
          </w:rPr>
          <w:tab/>
        </w:r>
        <w:r>
          <w:rPr>
            <w:rFonts w:hint="eastAsia"/>
          </w:rPr>
          <w:fldChar w:fldCharType="begin"/>
        </w:r>
        <w:r>
          <w:rPr>
            <w:rFonts w:hint="eastAsia"/>
          </w:rPr>
          <w:instrText xml:space="preserve"> </w:instrText>
        </w:r>
        <w:r>
          <w:instrText>PAGEREF _Toc224931554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55" w:history="1">
        <w:r w:rsidR="00943B26">
          <w:rPr>
            <w:rStyle w:val="afffff2"/>
            <w:rFonts w:hint="eastAsia"/>
          </w:rPr>
          <w:t>1</w:t>
        </w:r>
        <w:r w:rsidR="00943B26">
          <w:rPr>
            <w:rStyle w:val="afffff2"/>
          </w:rPr>
          <w:t xml:space="preserve"> </w:t>
        </w:r>
        <w:r w:rsidR="00943B26">
          <w:rPr>
            <w:rStyle w:val="afffff2"/>
            <w:rFonts w:hint="eastAsia"/>
          </w:rPr>
          <w:t xml:space="preserve"> 范围</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_Toc224931555 \h</w:instrText>
        </w:r>
        <w:r w:rsidR="00943B26">
          <w:rPr>
            <w:rFonts w:hint="eastAsia"/>
          </w:rPr>
          <w:instrText xml:space="preserve"> </w:instrText>
        </w:r>
        <w:r w:rsidR="00943B26">
          <w:rPr>
            <w:rFonts w:hint="eastAsia"/>
          </w:rPr>
        </w:r>
        <w:r w:rsidR="00943B26">
          <w:rPr>
            <w:rFonts w:hint="eastAsia"/>
          </w:rPr>
          <w:fldChar w:fldCharType="separate"/>
        </w:r>
        <w:r w:rsidR="00943B26">
          <w:t>1</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56" w:history="1">
        <w:r w:rsidR="00943B26">
          <w:rPr>
            <w:rStyle w:val="afffff2"/>
            <w:rFonts w:hint="eastAsia"/>
          </w:rPr>
          <w:t>2</w:t>
        </w:r>
        <w:r w:rsidR="00943B26">
          <w:rPr>
            <w:rStyle w:val="afffff2"/>
          </w:rPr>
          <w:t xml:space="preserve"> </w:t>
        </w:r>
        <w:r w:rsidR="00943B26">
          <w:rPr>
            <w:rStyle w:val="afffff2"/>
            <w:rFonts w:hint="eastAsia"/>
          </w:rPr>
          <w:t xml:space="preserve"> 规范性引用文件</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_Toc224931556 \h</w:instrText>
        </w:r>
        <w:r w:rsidR="00943B26">
          <w:rPr>
            <w:rFonts w:hint="eastAsia"/>
          </w:rPr>
          <w:instrText xml:space="preserve"> </w:instrText>
        </w:r>
        <w:r w:rsidR="00943B26">
          <w:rPr>
            <w:rFonts w:hint="eastAsia"/>
          </w:rPr>
        </w:r>
        <w:r w:rsidR="00943B26">
          <w:rPr>
            <w:rFonts w:hint="eastAsia"/>
          </w:rPr>
          <w:fldChar w:fldCharType="separate"/>
        </w:r>
        <w:r w:rsidR="00943B26">
          <w:t>1</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57" w:history="1">
        <w:r w:rsidR="00943B26">
          <w:rPr>
            <w:rStyle w:val="afffff2"/>
            <w:rFonts w:hint="eastAsia"/>
          </w:rPr>
          <w:t>3</w:t>
        </w:r>
        <w:r w:rsidR="00943B26">
          <w:rPr>
            <w:rStyle w:val="afffff2"/>
          </w:rPr>
          <w:t xml:space="preserve"> </w:t>
        </w:r>
        <w:r w:rsidR="00943B26">
          <w:rPr>
            <w:rStyle w:val="afffff2"/>
            <w:rFonts w:hint="eastAsia"/>
          </w:rPr>
          <w:t xml:space="preserve"> 术语和定义</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_Toc224931557 \h</w:instrText>
        </w:r>
        <w:r w:rsidR="00943B26">
          <w:rPr>
            <w:rFonts w:hint="eastAsia"/>
          </w:rPr>
          <w:instrText xml:space="preserve"> </w:instrText>
        </w:r>
        <w:r w:rsidR="00943B26">
          <w:rPr>
            <w:rFonts w:hint="eastAsia"/>
          </w:rPr>
        </w:r>
        <w:r w:rsidR="00943B26">
          <w:rPr>
            <w:rFonts w:hint="eastAsia"/>
          </w:rPr>
          <w:fldChar w:fldCharType="separate"/>
        </w:r>
        <w:r w:rsidR="00943B26">
          <w:t>1</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58" w:history="1">
        <w:r w:rsidR="00943B26">
          <w:rPr>
            <w:rStyle w:val="afffff2"/>
            <w:rFonts w:hint="eastAsia"/>
          </w:rPr>
          <w:t>4</w:t>
        </w:r>
        <w:r w:rsidR="00943B26">
          <w:rPr>
            <w:rStyle w:val="afffff2"/>
          </w:rPr>
          <w:t xml:space="preserve"> </w:t>
        </w:r>
        <w:r w:rsidR="00943B26">
          <w:rPr>
            <w:rStyle w:val="afffff2"/>
            <w:rFonts w:hint="eastAsia"/>
          </w:rPr>
          <w:t xml:space="preserve"> 缩略语</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_Toc224931558 \h</w:instrText>
        </w:r>
        <w:r w:rsidR="00943B26">
          <w:rPr>
            <w:rFonts w:hint="eastAsia"/>
          </w:rPr>
          <w:instrText xml:space="preserve"> </w:instrText>
        </w:r>
        <w:r w:rsidR="00943B26">
          <w:rPr>
            <w:rFonts w:hint="eastAsia"/>
          </w:rPr>
        </w:r>
        <w:r w:rsidR="00943B26">
          <w:rPr>
            <w:rFonts w:hint="eastAsia"/>
          </w:rPr>
          <w:fldChar w:fldCharType="separate"/>
        </w:r>
        <w:r w:rsidR="00943B26">
          <w:t>1</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59" w:history="1">
        <w:r w:rsidR="00943B26">
          <w:rPr>
            <w:rStyle w:val="afffff2"/>
            <w:rFonts w:hint="eastAsia"/>
          </w:rPr>
          <w:t>5</w:t>
        </w:r>
        <w:r w:rsidR="00943B26">
          <w:rPr>
            <w:rStyle w:val="afffff2"/>
          </w:rPr>
          <w:t xml:space="preserve"> </w:t>
        </w:r>
        <w:r w:rsidR="00943B26">
          <w:rPr>
            <w:rStyle w:val="afffff2"/>
            <w:rFonts w:hint="eastAsia"/>
          </w:rPr>
          <w:t xml:space="preserve"> 诊断</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_Toc224931559 \h</w:instrText>
        </w:r>
        <w:r w:rsidR="00943B26">
          <w:rPr>
            <w:rFonts w:hint="eastAsia"/>
          </w:rPr>
          <w:instrText xml:space="preserve"> </w:instrText>
        </w:r>
        <w:r w:rsidR="00943B26">
          <w:rPr>
            <w:rFonts w:hint="eastAsia"/>
          </w:rPr>
        </w:r>
        <w:r w:rsidR="00943B26">
          <w:rPr>
            <w:rFonts w:hint="eastAsia"/>
          </w:rPr>
          <w:fldChar w:fldCharType="separate"/>
        </w:r>
        <w:r w:rsidR="00943B26">
          <w:t>2</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0" w:history="1">
        <w:r w:rsidR="00943B26">
          <w:rPr>
            <w:rStyle w:val="afffff2"/>
            <w:rFonts w:hint="eastAsia"/>
          </w:rPr>
          <w:t>6</w:t>
        </w:r>
        <w:r w:rsidR="00943B26">
          <w:rPr>
            <w:rStyle w:val="afffff2"/>
          </w:rPr>
          <w:t xml:space="preserve"> </w:t>
        </w:r>
        <w:r w:rsidR="00943B26">
          <w:rPr>
            <w:rStyle w:val="afffff2"/>
            <w:rFonts w:hint="eastAsia"/>
          </w:rPr>
          <w:t xml:space="preserve"> 治疗前准备</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_Toc224931560 \h</w:instrText>
        </w:r>
        <w:r w:rsidR="00943B26">
          <w:rPr>
            <w:rFonts w:hint="eastAsia"/>
          </w:rPr>
          <w:instrText xml:space="preserve"> </w:instrText>
        </w:r>
        <w:r w:rsidR="00943B26">
          <w:rPr>
            <w:rFonts w:hint="eastAsia"/>
          </w:rPr>
        </w:r>
        <w:r w:rsidR="00943B26">
          <w:rPr>
            <w:rFonts w:hint="eastAsia"/>
          </w:rPr>
          <w:fldChar w:fldCharType="separate"/>
        </w:r>
        <w:r w:rsidR="00943B26">
          <w:t>2</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1" w:history="1">
        <w:r w:rsidR="00943B26">
          <w:rPr>
            <w:rStyle w:val="afffff2"/>
            <w:rFonts w:hint="eastAsia"/>
          </w:rPr>
          <w:t>7</w:t>
        </w:r>
        <w:r w:rsidR="00943B26">
          <w:rPr>
            <w:rStyle w:val="afffff2"/>
          </w:rPr>
          <w:t xml:space="preserve"> </w:t>
        </w:r>
        <w:r w:rsidR="00943B26">
          <w:rPr>
            <w:rStyle w:val="afffff2"/>
            <w:rFonts w:hint="eastAsia"/>
          </w:rPr>
          <w:t xml:space="preserve"> 抗病毒治疗</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_Toc224931561 \h</w:instrText>
        </w:r>
        <w:r w:rsidR="00943B26">
          <w:rPr>
            <w:rFonts w:hint="eastAsia"/>
          </w:rPr>
          <w:instrText xml:space="preserve"> </w:instrText>
        </w:r>
        <w:r w:rsidR="00943B26">
          <w:rPr>
            <w:rFonts w:hint="eastAsia"/>
          </w:rPr>
        </w:r>
        <w:r w:rsidR="00943B26">
          <w:rPr>
            <w:rFonts w:hint="eastAsia"/>
          </w:rPr>
          <w:fldChar w:fldCharType="separate"/>
        </w:r>
        <w:r w:rsidR="00943B26">
          <w:t>3</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2" w:history="1">
        <w:r w:rsidR="00943B26">
          <w:rPr>
            <w:rStyle w:val="afffff2"/>
            <w:rFonts w:hint="eastAsia"/>
          </w:rPr>
          <w:t>8</w:t>
        </w:r>
        <w:r w:rsidR="00943B26">
          <w:rPr>
            <w:rStyle w:val="afffff2"/>
          </w:rPr>
          <w:t xml:space="preserve"> </w:t>
        </w:r>
        <w:r w:rsidR="00943B26">
          <w:rPr>
            <w:rStyle w:val="afffff2"/>
            <w:rFonts w:hint="eastAsia"/>
          </w:rPr>
          <w:t xml:space="preserve"> 随访管理</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_Toc224931562 \h</w:instrText>
        </w:r>
        <w:r w:rsidR="00943B26">
          <w:rPr>
            <w:rFonts w:hint="eastAsia"/>
          </w:rPr>
          <w:instrText xml:space="preserve"> </w:instrText>
        </w:r>
        <w:r w:rsidR="00943B26">
          <w:rPr>
            <w:rFonts w:hint="eastAsia"/>
          </w:rPr>
        </w:r>
        <w:r w:rsidR="00943B26">
          <w:rPr>
            <w:rFonts w:hint="eastAsia"/>
          </w:rPr>
          <w:fldChar w:fldCharType="separate"/>
        </w:r>
        <w:r w:rsidR="00943B26">
          <w:t>4</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3" w:history="1">
        <w:r w:rsidR="00943B26">
          <w:rPr>
            <w:rStyle w:val="afffff2"/>
            <w:rFonts w:hint="eastAsia"/>
          </w:rPr>
          <w:t>9</w:t>
        </w:r>
        <w:r w:rsidR="00943B26">
          <w:rPr>
            <w:rStyle w:val="afffff2"/>
          </w:rPr>
          <w:t xml:space="preserve"> </w:t>
        </w:r>
        <w:r w:rsidR="00943B26">
          <w:rPr>
            <w:rStyle w:val="afffff2"/>
            <w:rFonts w:hint="eastAsia"/>
          </w:rPr>
          <w:t xml:space="preserve"> 档案管理</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_Toc224931563 \h</w:instrText>
        </w:r>
        <w:r w:rsidR="00943B26">
          <w:rPr>
            <w:rFonts w:hint="eastAsia"/>
          </w:rPr>
          <w:instrText xml:space="preserve"> </w:instrText>
        </w:r>
        <w:r w:rsidR="00943B26">
          <w:rPr>
            <w:rFonts w:hint="eastAsia"/>
          </w:rPr>
        </w:r>
        <w:r w:rsidR="00943B26">
          <w:rPr>
            <w:rFonts w:hint="eastAsia"/>
          </w:rPr>
          <w:fldChar w:fldCharType="separate"/>
        </w:r>
        <w:r w:rsidR="00943B26">
          <w:t>8</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4" w:history="1">
        <w:r w:rsidR="00943B26">
          <w:rPr>
            <w:rStyle w:val="afffff2"/>
            <w:rFonts w:hint="eastAsia"/>
          </w:rPr>
          <w:t>附录A（资料性）</w:t>
        </w:r>
        <w:r w:rsidR="00943B26">
          <w:rPr>
            <w:rStyle w:val="afffff2"/>
          </w:rPr>
          <w:t xml:space="preserve"> </w:t>
        </w:r>
        <w:r w:rsidR="00943B26">
          <w:rPr>
            <w:rStyle w:val="afffff2"/>
            <w:rFonts w:hint="eastAsia"/>
          </w:rPr>
          <w:t xml:space="preserve"> 生长发育评估</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_Toc224931564 \h</w:instrText>
        </w:r>
        <w:r w:rsidR="00943B26">
          <w:rPr>
            <w:rFonts w:hint="eastAsia"/>
          </w:rPr>
          <w:instrText xml:space="preserve"> </w:instrText>
        </w:r>
        <w:r w:rsidR="00943B26">
          <w:rPr>
            <w:rFonts w:hint="eastAsia"/>
          </w:rPr>
        </w:r>
        <w:r w:rsidR="00943B26">
          <w:rPr>
            <w:rFonts w:hint="eastAsia"/>
          </w:rPr>
          <w:fldChar w:fldCharType="separate"/>
        </w:r>
        <w:r w:rsidR="00943B26">
          <w:t>9</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5" w:history="1">
        <w:r w:rsidR="00943B26">
          <w:rPr>
            <w:rStyle w:val="afffff2"/>
            <w:rFonts w:hint="eastAsia"/>
          </w:rPr>
          <w:t>附录B（资料性）</w:t>
        </w:r>
        <w:r w:rsidR="00943B26">
          <w:rPr>
            <w:rStyle w:val="afffff2"/>
          </w:rPr>
          <w:t xml:space="preserve"> </w:t>
        </w:r>
        <w:r w:rsidR="00943B26">
          <w:rPr>
            <w:rStyle w:val="afffff2"/>
            <w:rFonts w:hint="eastAsia"/>
          </w:rPr>
          <w:t xml:space="preserve"> 儿童心理行为发育问题预警征象</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_Toc224931565 \h</w:instrText>
        </w:r>
        <w:r w:rsidR="00943B26">
          <w:rPr>
            <w:rFonts w:hint="eastAsia"/>
          </w:rPr>
          <w:instrText xml:space="preserve"> </w:instrText>
        </w:r>
        <w:r w:rsidR="00943B26">
          <w:rPr>
            <w:rFonts w:hint="eastAsia"/>
          </w:rPr>
        </w:r>
        <w:r w:rsidR="00943B26">
          <w:rPr>
            <w:rFonts w:hint="eastAsia"/>
          </w:rPr>
          <w:fldChar w:fldCharType="separate"/>
        </w:r>
        <w:r w:rsidR="00943B26">
          <w:t>11</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6" w:history="1">
        <w:r w:rsidR="00943B26">
          <w:rPr>
            <w:rStyle w:val="afffff2"/>
            <w:rFonts w:hint="eastAsia"/>
          </w:rPr>
          <w:t>附录C（资料性）</w:t>
        </w:r>
        <w:r w:rsidR="00943B26">
          <w:rPr>
            <w:rStyle w:val="afffff2"/>
          </w:rPr>
          <w:t xml:space="preserve"> </w:t>
        </w:r>
        <w:r w:rsidR="00943B26">
          <w:rPr>
            <w:rStyle w:val="afffff2"/>
            <w:rFonts w:hint="eastAsia"/>
          </w:rPr>
          <w:t xml:space="preserve"> HIV感染儿童抗病毒治疗方案</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_Toc224931566 \h</w:instrText>
        </w:r>
        <w:r w:rsidR="00943B26">
          <w:rPr>
            <w:rFonts w:hint="eastAsia"/>
          </w:rPr>
          <w:instrText xml:space="preserve"> </w:instrText>
        </w:r>
        <w:r w:rsidR="00943B26">
          <w:rPr>
            <w:rFonts w:hint="eastAsia"/>
          </w:rPr>
        </w:r>
        <w:r w:rsidR="00943B26">
          <w:rPr>
            <w:rFonts w:hint="eastAsia"/>
          </w:rPr>
          <w:fldChar w:fldCharType="separate"/>
        </w:r>
        <w:r w:rsidR="00943B26">
          <w:t>12</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7" w:history="1">
        <w:r w:rsidR="00943B26">
          <w:rPr>
            <w:rStyle w:val="afffff2"/>
            <w:rFonts w:hint="eastAsia"/>
          </w:rPr>
          <w:t>附录D（资料性）</w:t>
        </w:r>
        <w:r w:rsidR="00943B26">
          <w:rPr>
            <w:rStyle w:val="afffff2"/>
          </w:rPr>
          <w:t xml:space="preserve"> </w:t>
        </w:r>
        <w:r w:rsidR="00943B26">
          <w:rPr>
            <w:rStyle w:val="afffff2"/>
            <w:rFonts w:hint="eastAsia"/>
          </w:rPr>
          <w:t xml:space="preserve"> 现抗病毒治疗随访及检测项目时间表</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_Toc224931567 \h</w:instrText>
        </w:r>
        <w:r w:rsidR="00943B26">
          <w:rPr>
            <w:rFonts w:hint="eastAsia"/>
          </w:rPr>
          <w:instrText xml:space="preserve"> </w:instrText>
        </w:r>
        <w:r w:rsidR="00943B26">
          <w:rPr>
            <w:rFonts w:hint="eastAsia"/>
          </w:rPr>
        </w:r>
        <w:r w:rsidR="00943B26">
          <w:rPr>
            <w:rFonts w:hint="eastAsia"/>
          </w:rPr>
          <w:fldChar w:fldCharType="separate"/>
        </w:r>
        <w:r w:rsidR="00943B26">
          <w:t>15</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8" w:history="1">
        <w:r w:rsidR="00943B26">
          <w:rPr>
            <w:rStyle w:val="afffff2"/>
            <w:rFonts w:hint="eastAsia"/>
          </w:rPr>
          <w:t>附录E（资料性）</w:t>
        </w:r>
        <w:r w:rsidR="00943B26">
          <w:rPr>
            <w:rStyle w:val="afffff2"/>
          </w:rPr>
          <w:t xml:space="preserve"> </w:t>
        </w:r>
        <w:r w:rsidR="00943B26">
          <w:rPr>
            <w:rStyle w:val="afffff2"/>
            <w:rFonts w:hint="eastAsia"/>
          </w:rPr>
          <w:t xml:space="preserve"> HIV感染儿童抗病毒治疗失败后的调整方案</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_Toc224931568 \h</w:instrText>
        </w:r>
        <w:r w:rsidR="00943B26">
          <w:rPr>
            <w:rFonts w:hint="eastAsia"/>
          </w:rPr>
          <w:instrText xml:space="preserve"> </w:instrText>
        </w:r>
        <w:r w:rsidR="00943B26">
          <w:rPr>
            <w:rFonts w:hint="eastAsia"/>
          </w:rPr>
        </w:r>
        <w:r w:rsidR="00943B26">
          <w:rPr>
            <w:rFonts w:hint="eastAsia"/>
          </w:rPr>
          <w:fldChar w:fldCharType="separate"/>
        </w:r>
        <w:r w:rsidR="00943B26">
          <w:t>16</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69" w:history="1">
        <w:r w:rsidR="00943B26">
          <w:rPr>
            <w:rStyle w:val="afffff2"/>
            <w:rFonts w:hint="eastAsia"/>
          </w:rPr>
          <w:t>附录F（资料性）</w:t>
        </w:r>
        <w:r w:rsidR="00943B26">
          <w:rPr>
            <w:rStyle w:val="afffff2"/>
          </w:rPr>
          <w:t xml:space="preserve"> </w:t>
        </w:r>
        <w:r w:rsidR="00943B26">
          <w:rPr>
            <w:rStyle w:val="afffff2"/>
            <w:rFonts w:hint="eastAsia"/>
          </w:rPr>
          <w:t xml:space="preserve"> HIV感染儿童疫苗接种建议</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_Toc224931569 \h</w:instrText>
        </w:r>
        <w:r w:rsidR="00943B26">
          <w:rPr>
            <w:rFonts w:hint="eastAsia"/>
          </w:rPr>
          <w:instrText xml:space="preserve"> </w:instrText>
        </w:r>
        <w:r w:rsidR="00943B26">
          <w:rPr>
            <w:rFonts w:hint="eastAsia"/>
          </w:rPr>
        </w:r>
        <w:r w:rsidR="00943B26">
          <w:rPr>
            <w:rFonts w:hint="eastAsia"/>
          </w:rPr>
          <w:fldChar w:fldCharType="separate"/>
        </w:r>
        <w:r w:rsidR="00943B26">
          <w:t>17</w:t>
        </w:r>
        <w:r w:rsidR="00943B26">
          <w:rPr>
            <w:rFonts w:hint="eastAsia"/>
          </w:rPr>
          <w:fldChar w:fldCharType="end"/>
        </w:r>
      </w:hyperlink>
    </w:p>
    <w:p w:rsidR="00110865" w:rsidRDefault="00335818">
      <w:pPr>
        <w:pStyle w:val="TOC1"/>
        <w:tabs>
          <w:tab w:val="right" w:leader="dot" w:pos="9344"/>
        </w:tabs>
        <w:rPr>
          <w:rFonts w:asciiTheme="minorHAnsi" w:eastAsiaTheme="minorEastAsia" w:hAnsiTheme="minorHAnsi" w:cstheme="minorBidi"/>
          <w:sz w:val="22"/>
          <w:szCs w:val="24"/>
          <w14:ligatures w14:val="standardContextual"/>
        </w:rPr>
      </w:pPr>
      <w:hyperlink w:anchor="_Toc224931570" w:history="1">
        <w:r w:rsidR="00943B26">
          <w:rPr>
            <w:rStyle w:val="afffff2"/>
            <w:rFonts w:hint="eastAsia"/>
          </w:rPr>
          <w:t>参考文献</w:t>
        </w:r>
        <w:r w:rsidR="00943B26">
          <w:rPr>
            <w:rFonts w:hint="eastAsia"/>
          </w:rPr>
          <w:tab/>
        </w:r>
        <w:r w:rsidR="00943B26">
          <w:rPr>
            <w:rFonts w:hint="eastAsia"/>
          </w:rPr>
          <w:fldChar w:fldCharType="begin"/>
        </w:r>
        <w:r w:rsidR="00943B26">
          <w:rPr>
            <w:rFonts w:hint="eastAsia"/>
          </w:rPr>
          <w:instrText xml:space="preserve"> </w:instrText>
        </w:r>
        <w:r w:rsidR="00943B26">
          <w:instrText>PAGEREF _Toc224931570 \h</w:instrText>
        </w:r>
        <w:r w:rsidR="00943B26">
          <w:rPr>
            <w:rFonts w:hint="eastAsia"/>
          </w:rPr>
          <w:instrText xml:space="preserve"> </w:instrText>
        </w:r>
        <w:r w:rsidR="00943B26">
          <w:rPr>
            <w:rFonts w:hint="eastAsia"/>
          </w:rPr>
        </w:r>
        <w:r w:rsidR="00943B26">
          <w:rPr>
            <w:rFonts w:hint="eastAsia"/>
          </w:rPr>
          <w:fldChar w:fldCharType="separate"/>
        </w:r>
        <w:r w:rsidR="00943B26">
          <w:t>19</w:t>
        </w:r>
        <w:r w:rsidR="00943B26">
          <w:rPr>
            <w:rFonts w:hint="eastAsia"/>
          </w:rPr>
          <w:fldChar w:fldCharType="end"/>
        </w:r>
      </w:hyperlink>
    </w:p>
    <w:p w:rsidR="00110865" w:rsidRDefault="00943B26">
      <w:pPr>
        <w:pStyle w:val="afffffff2"/>
        <w:spacing w:after="360"/>
        <w:sectPr w:rsidR="0011086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110865" w:rsidRDefault="00943B26">
      <w:pPr>
        <w:pStyle w:val="a6"/>
        <w:spacing w:after="360"/>
      </w:pPr>
      <w:bookmarkStart w:id="30" w:name="_Toc224931554"/>
      <w:bookmarkStart w:id="31" w:name="BookMark2"/>
      <w:bookmarkEnd w:id="24"/>
      <w:r>
        <w:rPr>
          <w:spacing w:val="320"/>
        </w:rPr>
        <w:lastRenderedPageBreak/>
        <w:t>前</w:t>
      </w:r>
      <w:r>
        <w:t>言</w:t>
      </w:r>
      <w:bookmarkEnd w:id="25"/>
      <w:bookmarkEnd w:id="26"/>
      <w:bookmarkEnd w:id="27"/>
      <w:bookmarkEnd w:id="28"/>
      <w:bookmarkEnd w:id="29"/>
      <w:bookmarkEnd w:id="30"/>
    </w:p>
    <w:p w:rsidR="00110865" w:rsidRDefault="00943B26">
      <w:pPr>
        <w:pStyle w:val="afffffd"/>
        <w:ind w:firstLine="420"/>
      </w:pPr>
      <w:r>
        <w:rPr>
          <w:rFonts w:hint="eastAsia"/>
        </w:rPr>
        <w:t>本文件参照GB/T 1.1—2020《标准化工作导则  第1部分：标准化文件的结构和起草规则》的规定起草。</w:t>
      </w:r>
    </w:p>
    <w:p w:rsidR="00110865" w:rsidRDefault="00943B26">
      <w:pPr>
        <w:pStyle w:val="afffffd"/>
        <w:ind w:firstLine="420"/>
      </w:pPr>
      <w:r>
        <w:rPr>
          <w:rFonts w:hint="eastAsia"/>
        </w:rPr>
        <w:t>请注意本文件的某些内容可能涉及专利。本文件的发布机构不承担识别专利的责任。</w:t>
      </w:r>
    </w:p>
    <w:p w:rsidR="00110865" w:rsidRDefault="00943B26">
      <w:pPr>
        <w:pStyle w:val="afffffd"/>
        <w:ind w:firstLine="420"/>
      </w:pPr>
      <w:r>
        <w:rPr>
          <w:rFonts w:hint="eastAsia"/>
        </w:rPr>
        <w:t>本文件由广西预防医学会提出、宣贯并归口。</w:t>
      </w:r>
    </w:p>
    <w:p w:rsidR="00110865" w:rsidRPr="005878C7" w:rsidRDefault="00943B26">
      <w:pPr>
        <w:pStyle w:val="afffffd"/>
        <w:ind w:firstLine="420"/>
      </w:pPr>
      <w:r w:rsidRPr="005878C7">
        <w:rPr>
          <w:rFonts w:hint="eastAsia"/>
        </w:rPr>
        <w:t>本文件起草单位：广西壮族自治区疾病预防控制中心、中国疾病预防控制中心 性病艾滋病预防控制中心、广西壮族自治区胸科医院、广西医科大学附属武鸣医院、广西壮族自治区妇幼保健院、香港城市大学 社会及行为科学系、云南省传染病医院、南宁市第四人民医院、南宁市妇幼保健院。</w:t>
      </w:r>
    </w:p>
    <w:p w:rsidR="00110865" w:rsidRDefault="00943B26">
      <w:pPr>
        <w:pStyle w:val="afffffd"/>
        <w:ind w:firstLine="420"/>
      </w:pPr>
      <w:r>
        <w:rPr>
          <w:rFonts w:hint="eastAsia"/>
        </w:rPr>
        <w:t>本文件主要起草人：</w:t>
      </w:r>
      <w:r>
        <w:rPr>
          <w:rFonts w:hint="eastAsia"/>
          <w:color w:val="000000" w:themeColor="text1"/>
        </w:rPr>
        <w:t>曾小良、赵燕、蒙晓宇、吴雨霏、张剑锋、许元龙、周洁超、于肖楠、阮玉华、刘美、彭振仁、岑平、罗静霞、卢海金、周信娟、鲁鸿燕、黄影、黄小昌。</w:t>
      </w:r>
    </w:p>
    <w:p w:rsidR="00110865" w:rsidRDefault="00110865">
      <w:pPr>
        <w:pStyle w:val="afffffd"/>
        <w:ind w:firstLine="420"/>
      </w:pPr>
    </w:p>
    <w:p w:rsidR="00110865" w:rsidRDefault="00110865">
      <w:pPr>
        <w:pStyle w:val="afffffd"/>
        <w:ind w:firstLine="420"/>
      </w:pPr>
    </w:p>
    <w:p w:rsidR="00110865" w:rsidRDefault="00110865">
      <w:pPr>
        <w:pStyle w:val="afffffd"/>
        <w:ind w:firstLine="420"/>
        <w:sectPr w:rsidR="00110865">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110865" w:rsidRDefault="00110865">
      <w:pPr>
        <w:spacing w:line="20" w:lineRule="exact"/>
        <w:jc w:val="center"/>
        <w:rPr>
          <w:rFonts w:ascii="黑体" w:eastAsia="黑体" w:hAnsi="黑体"/>
          <w:sz w:val="32"/>
          <w:szCs w:val="32"/>
        </w:rPr>
      </w:pPr>
      <w:bookmarkStart w:id="32" w:name="BookMark4"/>
      <w:bookmarkEnd w:id="31"/>
    </w:p>
    <w:p w:rsidR="00110865" w:rsidRDefault="00110865">
      <w:pPr>
        <w:spacing w:line="20" w:lineRule="exact"/>
        <w:jc w:val="center"/>
        <w:rPr>
          <w:rFonts w:ascii="黑体" w:eastAsia="黑体" w:hAnsi="黑体"/>
          <w:sz w:val="32"/>
          <w:szCs w:val="32"/>
        </w:rPr>
      </w:pPr>
    </w:p>
    <w:bookmarkStart w:id="33" w:name="NEW_STAND_NAME" w:displacedByCustomXml="next"/>
    <w:sdt>
      <w:sdtPr>
        <w:tag w:val="NEW_STAND_NAME"/>
        <w:id w:val="595910757"/>
        <w:lock w:val="sdtLocked"/>
        <w:placeholder>
          <w:docPart w:val="6E80BDE03F684683BD9CC12748B47287"/>
        </w:placeholder>
      </w:sdtPr>
      <w:sdtEndPr/>
      <w:sdtContent>
        <w:p w:rsidR="00110865" w:rsidRDefault="00943B26">
          <w:pPr>
            <w:pStyle w:val="affffffffff0"/>
            <w:spacing w:beforeLines="100" w:before="240" w:afterLines="220" w:after="528"/>
          </w:pPr>
          <w:r>
            <w:t>HIV感染儿童抗病毒治疗及随访管理规范</w:t>
          </w:r>
        </w:p>
      </w:sdtContent>
    </w:sdt>
    <w:p w:rsidR="00110865" w:rsidRDefault="00943B26">
      <w:pPr>
        <w:pStyle w:val="affc"/>
        <w:spacing w:before="240" w:after="240"/>
      </w:pPr>
      <w:bookmarkStart w:id="34" w:name="_Toc216451266"/>
      <w:bookmarkStart w:id="35" w:name="_Toc26648465"/>
      <w:bookmarkStart w:id="36" w:name="_Toc97192964"/>
      <w:bookmarkStart w:id="37" w:name="_Toc224929953"/>
      <w:bookmarkStart w:id="38" w:name="_Toc24884218"/>
      <w:bookmarkStart w:id="39" w:name="_Toc216431466"/>
      <w:bookmarkStart w:id="40" w:name="_Toc216451294"/>
      <w:bookmarkStart w:id="41" w:name="_Toc224931555"/>
      <w:bookmarkStart w:id="42" w:name="_Toc17233333"/>
      <w:bookmarkStart w:id="43" w:name="_Toc224931446"/>
      <w:bookmarkStart w:id="44" w:name="_Toc26718930"/>
      <w:bookmarkStart w:id="45" w:name="_Toc26986771"/>
      <w:bookmarkStart w:id="46" w:name="_Toc17233325"/>
      <w:bookmarkStart w:id="47" w:name="_Toc24884211"/>
      <w:bookmarkStart w:id="48" w:name="_Toc26986530"/>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110865" w:rsidRDefault="00943B26">
      <w:pPr>
        <w:pStyle w:val="afffffd"/>
        <w:ind w:firstLine="420"/>
      </w:pPr>
      <w:bookmarkStart w:id="49" w:name="_Toc24884219"/>
      <w:bookmarkStart w:id="50" w:name="_Toc17233334"/>
      <w:bookmarkStart w:id="51" w:name="_Toc24884212"/>
      <w:bookmarkStart w:id="52" w:name="_Toc26648466"/>
      <w:bookmarkStart w:id="53" w:name="_Toc17233326"/>
      <w:r>
        <w:rPr>
          <w:rFonts w:hint="eastAsia"/>
        </w:rPr>
        <w:t>本文件</w:t>
      </w:r>
      <w:r>
        <w:rPr>
          <w:rFonts w:hint="eastAsia"/>
          <w:color w:val="000000" w:themeColor="text1"/>
        </w:rPr>
        <w:t>界定了</w:t>
      </w:r>
      <w:r>
        <w:rPr>
          <w:color w:val="000000" w:themeColor="text1"/>
        </w:rPr>
        <w:t>HIV</w:t>
      </w:r>
      <w:r>
        <w:rPr>
          <w:rFonts w:hint="eastAsia"/>
          <w:color w:val="000000" w:themeColor="text1"/>
        </w:rPr>
        <w:t>感染儿童抗病毒治疗及随访管理涉及的缩略语，</w:t>
      </w:r>
      <w:r>
        <w:rPr>
          <w:rFonts w:hint="eastAsia"/>
        </w:rPr>
        <w:t>规定了</w:t>
      </w:r>
      <w:r>
        <w:t>HIV感染儿童抗病毒治疗及随访管理</w:t>
      </w:r>
      <w:r>
        <w:rPr>
          <w:rFonts w:hint="eastAsia"/>
        </w:rPr>
        <w:t>的</w:t>
      </w:r>
      <w:bookmarkStart w:id="54" w:name="_Hlk224769468"/>
      <w:r>
        <w:rPr>
          <w:rFonts w:hint="eastAsia"/>
          <w:color w:val="000000" w:themeColor="text1"/>
        </w:rPr>
        <w:t>诊断、治疗前准备、抗病毒治疗、随访管理、档案管理的要求</w:t>
      </w:r>
      <w:bookmarkEnd w:id="54"/>
      <w:r>
        <w:rPr>
          <w:rFonts w:hint="eastAsia"/>
        </w:rPr>
        <w:t>。</w:t>
      </w:r>
    </w:p>
    <w:p w:rsidR="00110865" w:rsidRDefault="00943B26">
      <w:pPr>
        <w:pStyle w:val="afffffd"/>
        <w:ind w:firstLine="420"/>
      </w:pPr>
      <w:r>
        <w:rPr>
          <w:rFonts w:hint="eastAsia"/>
        </w:rPr>
        <w:t>本文件适用于</w:t>
      </w:r>
      <w:r>
        <w:t>HIV 感染儿童</w:t>
      </w:r>
      <w:r>
        <w:rPr>
          <w:rFonts w:hint="eastAsia"/>
          <w:color w:val="000000" w:themeColor="text1"/>
        </w:rPr>
        <w:t>（</w:t>
      </w:r>
      <w:r>
        <w:rPr>
          <w:color w:val="000000" w:themeColor="text1"/>
        </w:rPr>
        <w:t>0</w:t>
      </w:r>
      <w:r>
        <w:rPr>
          <w:rFonts w:hint="eastAsia"/>
          <w:color w:val="000000" w:themeColor="text1"/>
        </w:rPr>
        <w:t>～</w:t>
      </w:r>
      <w:r>
        <w:rPr>
          <w:color w:val="000000" w:themeColor="text1"/>
        </w:rPr>
        <w:t>18</w:t>
      </w:r>
      <w:r>
        <w:rPr>
          <w:rFonts w:hint="eastAsia"/>
          <w:color w:val="000000" w:themeColor="text1"/>
        </w:rPr>
        <w:t>岁）</w:t>
      </w:r>
      <w:r>
        <w:t>抗病毒治疗及随访管理</w:t>
      </w:r>
      <w:r>
        <w:rPr>
          <w:rFonts w:hint="eastAsia"/>
        </w:rPr>
        <w:t>。</w:t>
      </w:r>
    </w:p>
    <w:p w:rsidR="00110865" w:rsidRDefault="00943B26">
      <w:pPr>
        <w:pStyle w:val="affc"/>
        <w:spacing w:before="240" w:after="240"/>
        <w:rPr>
          <w:color w:val="4472C4" w:themeColor="accent1"/>
        </w:rPr>
      </w:pPr>
      <w:bookmarkStart w:id="55" w:name="_Toc26986531"/>
      <w:bookmarkStart w:id="56" w:name="_Toc26718931"/>
      <w:bookmarkStart w:id="57" w:name="_Toc26986772"/>
      <w:bookmarkStart w:id="58" w:name="_Toc216431467"/>
      <w:bookmarkStart w:id="59" w:name="_Toc224931556"/>
      <w:bookmarkStart w:id="60" w:name="_Toc216451295"/>
      <w:bookmarkStart w:id="61" w:name="_Toc97192965"/>
      <w:bookmarkStart w:id="62" w:name="_Toc216451267"/>
      <w:bookmarkStart w:id="63" w:name="_Toc224929954"/>
      <w:bookmarkStart w:id="64" w:name="_Toc224931447"/>
      <w:r>
        <w:rPr>
          <w:rFonts w:hint="eastAsia"/>
        </w:rPr>
        <w:t>规范性引用文件</w:t>
      </w:r>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BEE95EDDBAF34893BFB80B7EA00E2C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10865" w:rsidRDefault="00943B26">
          <w:pPr>
            <w:pStyle w:val="afffffd"/>
            <w:ind w:firstLine="420"/>
          </w:pPr>
          <w:r>
            <w:rPr>
              <w:rFonts w:hint="eastAsia"/>
            </w:rPr>
            <w:t>本文件没有规范性引用文件。</w:t>
          </w:r>
        </w:p>
      </w:sdtContent>
    </w:sdt>
    <w:p w:rsidR="00110865" w:rsidRDefault="00943B26">
      <w:pPr>
        <w:pStyle w:val="affc"/>
        <w:spacing w:before="240" w:after="240"/>
      </w:pPr>
      <w:bookmarkStart w:id="65" w:name="_Toc216451296"/>
      <w:bookmarkStart w:id="66" w:name="_Toc224929955"/>
      <w:bookmarkStart w:id="67" w:name="_Toc216431468"/>
      <w:bookmarkStart w:id="68" w:name="_Toc224931448"/>
      <w:bookmarkStart w:id="69" w:name="_Toc97192966"/>
      <w:bookmarkStart w:id="70" w:name="_Toc224931557"/>
      <w:bookmarkStart w:id="71" w:name="_Toc216451268"/>
      <w:r>
        <w:rPr>
          <w:rFonts w:hint="eastAsia"/>
          <w:szCs w:val="21"/>
        </w:rPr>
        <w:t>术语和定义</w:t>
      </w:r>
      <w:bookmarkEnd w:id="65"/>
      <w:bookmarkEnd w:id="66"/>
      <w:bookmarkEnd w:id="67"/>
      <w:bookmarkEnd w:id="68"/>
      <w:bookmarkEnd w:id="69"/>
      <w:bookmarkEnd w:id="70"/>
      <w:bookmarkEnd w:id="71"/>
    </w:p>
    <w:bookmarkStart w:id="72" w:name="_Toc26986532" w:displacedByCustomXml="next"/>
    <w:bookmarkEnd w:id="72" w:displacedByCustomXml="next"/>
    <w:sdt>
      <w:sdtPr>
        <w:id w:val="-1909835108"/>
        <w:placeholder>
          <w:docPart w:val="7AAB426371444A008D6BBFCD449F4D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10865" w:rsidRDefault="00943B26">
          <w:pPr>
            <w:pStyle w:val="afffffd"/>
            <w:ind w:firstLine="420"/>
          </w:pPr>
          <w:r>
            <w:t>本文件没有需要界定的术语和定义。</w:t>
          </w:r>
        </w:p>
      </w:sdtContent>
    </w:sdt>
    <w:p w:rsidR="00110865" w:rsidRDefault="00943B26">
      <w:pPr>
        <w:pStyle w:val="affc"/>
        <w:spacing w:before="240" w:after="240"/>
      </w:pPr>
      <w:bookmarkStart w:id="73" w:name="_Toc224929956"/>
      <w:bookmarkStart w:id="74" w:name="_Toc224931449"/>
      <w:bookmarkStart w:id="75" w:name="_Toc224931558"/>
      <w:bookmarkStart w:id="76" w:name="_Toc216431469"/>
      <w:bookmarkStart w:id="77" w:name="_Toc216451297"/>
      <w:bookmarkStart w:id="78" w:name="_Toc216451269"/>
      <w:r>
        <w:rPr>
          <w:rFonts w:hint="eastAsia"/>
        </w:rPr>
        <w:t>缩略语</w:t>
      </w:r>
      <w:bookmarkEnd w:id="73"/>
      <w:bookmarkEnd w:id="74"/>
      <w:bookmarkEnd w:id="75"/>
      <w:bookmarkEnd w:id="76"/>
      <w:bookmarkEnd w:id="77"/>
      <w:bookmarkEnd w:id="78"/>
    </w:p>
    <w:p w:rsidR="00110865" w:rsidRDefault="00943B26">
      <w:pPr>
        <w:pStyle w:val="afffffd"/>
        <w:ind w:firstLine="420"/>
        <w:rPr>
          <w:rFonts w:ascii="Times New Roman"/>
        </w:rPr>
      </w:pPr>
      <w:r>
        <w:rPr>
          <w:rFonts w:ascii="Times New Roman"/>
        </w:rPr>
        <w:t>下列缩略语适用于本文件。</w:t>
      </w:r>
    </w:p>
    <w:p w:rsidR="00110865" w:rsidRDefault="00943B26">
      <w:pPr>
        <w:pStyle w:val="afffffd"/>
        <w:ind w:firstLine="420"/>
        <w:rPr>
          <w:rFonts w:hAnsi="宋体"/>
          <w:color w:val="000000" w:themeColor="text1"/>
        </w:rPr>
      </w:pPr>
      <w:r>
        <w:rPr>
          <w:rFonts w:hAnsi="宋体" w:hint="eastAsia"/>
          <w:color w:val="000000" w:themeColor="text1"/>
        </w:rPr>
        <w:t>ABC：阿巴卡韦 (Abacavir)</w:t>
      </w:r>
    </w:p>
    <w:p w:rsidR="00110865" w:rsidRDefault="00943B26">
      <w:pPr>
        <w:pStyle w:val="afffffd"/>
        <w:ind w:firstLine="420"/>
        <w:rPr>
          <w:rFonts w:hAnsi="宋体"/>
          <w:color w:val="000000" w:themeColor="text1"/>
        </w:rPr>
      </w:pPr>
      <w:r>
        <w:rPr>
          <w:rFonts w:hAnsi="宋体" w:hint="eastAsia"/>
          <w:color w:val="000000" w:themeColor="text1"/>
        </w:rPr>
        <w:t>AIDS：艾滋病（Acquired Immunodeficiency Syndrome）</w:t>
      </w:r>
    </w:p>
    <w:p w:rsidR="00110865" w:rsidRDefault="00943B26">
      <w:pPr>
        <w:pStyle w:val="afffffd"/>
        <w:ind w:firstLine="420"/>
        <w:rPr>
          <w:rFonts w:hAnsi="宋体"/>
          <w:color w:val="000000" w:themeColor="text1"/>
        </w:rPr>
      </w:pPr>
      <w:r>
        <w:rPr>
          <w:rFonts w:hAnsi="宋体" w:hint="eastAsia"/>
          <w:color w:val="000000" w:themeColor="text1"/>
        </w:rPr>
        <w:t>ART：抗病毒治疗（Antiretroviral Therapy）</w:t>
      </w:r>
    </w:p>
    <w:p w:rsidR="00110865" w:rsidRDefault="00943B26">
      <w:pPr>
        <w:pStyle w:val="afffffd"/>
        <w:ind w:firstLine="420"/>
        <w:rPr>
          <w:rFonts w:hAnsi="宋体"/>
          <w:color w:val="000000" w:themeColor="text1"/>
        </w:rPr>
      </w:pPr>
      <w:r>
        <w:rPr>
          <w:rFonts w:hAnsi="宋体" w:hint="eastAsia"/>
          <w:color w:val="000000" w:themeColor="text1"/>
        </w:rPr>
        <w:t>AZT：</w:t>
      </w:r>
      <w:proofErr w:type="gramStart"/>
      <w:r>
        <w:rPr>
          <w:rFonts w:hAnsi="宋体" w:hint="eastAsia"/>
          <w:color w:val="000000" w:themeColor="text1"/>
        </w:rPr>
        <w:t>齐多夫</w:t>
      </w:r>
      <w:proofErr w:type="gramEnd"/>
      <w:r>
        <w:rPr>
          <w:rFonts w:hAnsi="宋体" w:hint="eastAsia"/>
          <w:color w:val="000000" w:themeColor="text1"/>
        </w:rPr>
        <w:t>定 (Zidovudine)</w:t>
      </w:r>
    </w:p>
    <w:p w:rsidR="00110865" w:rsidRDefault="00943B26">
      <w:pPr>
        <w:pStyle w:val="afffffd"/>
        <w:ind w:firstLine="420"/>
        <w:rPr>
          <w:rFonts w:hAnsi="宋体"/>
          <w:color w:val="000000" w:themeColor="text1"/>
        </w:rPr>
      </w:pPr>
      <w:r>
        <w:rPr>
          <w:rFonts w:hAnsi="宋体" w:hint="eastAsia"/>
          <w:color w:val="000000" w:themeColor="text1"/>
        </w:rPr>
        <w:t>BMI：体质指数（Body Mass Index）</w:t>
      </w:r>
    </w:p>
    <w:p w:rsidR="00110865" w:rsidRDefault="00943B26">
      <w:pPr>
        <w:pStyle w:val="afffffd"/>
        <w:ind w:firstLine="420"/>
        <w:rPr>
          <w:rFonts w:hAnsi="宋体"/>
          <w:color w:val="000000" w:themeColor="text1"/>
        </w:rPr>
      </w:pPr>
      <w:r>
        <w:rPr>
          <w:rFonts w:hAnsi="宋体" w:hint="eastAsia"/>
          <w:color w:val="000000" w:themeColor="text1"/>
        </w:rPr>
        <w:t>CAB：</w:t>
      </w:r>
      <w:proofErr w:type="gramStart"/>
      <w:r>
        <w:rPr>
          <w:rFonts w:hAnsi="宋体" w:hint="eastAsia"/>
          <w:color w:val="000000" w:themeColor="text1"/>
        </w:rPr>
        <w:t>卡替拉</w:t>
      </w:r>
      <w:proofErr w:type="gramEnd"/>
      <w:r>
        <w:rPr>
          <w:rFonts w:hAnsi="宋体" w:hint="eastAsia"/>
          <w:color w:val="000000" w:themeColor="text1"/>
        </w:rPr>
        <w:t>韦(Cabotegravir)</w:t>
      </w:r>
    </w:p>
    <w:p w:rsidR="00110865" w:rsidRDefault="00943B26">
      <w:pPr>
        <w:pStyle w:val="afffffd"/>
        <w:ind w:firstLine="420"/>
        <w:rPr>
          <w:rFonts w:hAnsi="宋体"/>
          <w:color w:val="000000" w:themeColor="text1"/>
        </w:rPr>
      </w:pPr>
      <w:r>
        <w:rPr>
          <w:rFonts w:hAnsi="宋体" w:hint="eastAsia"/>
          <w:color w:val="000000" w:themeColor="text1"/>
        </w:rPr>
        <w:t>DTG：多替拉韦(Dolutegravir)</w:t>
      </w:r>
    </w:p>
    <w:p w:rsidR="00110865" w:rsidRDefault="00943B26">
      <w:pPr>
        <w:pStyle w:val="afffffd"/>
        <w:ind w:firstLine="420"/>
        <w:rPr>
          <w:rFonts w:hAnsi="宋体"/>
          <w:color w:val="000000" w:themeColor="text1"/>
        </w:rPr>
      </w:pPr>
      <w:r>
        <w:rPr>
          <w:rFonts w:hAnsi="宋体" w:hint="eastAsia"/>
          <w:color w:val="000000" w:themeColor="text1"/>
        </w:rPr>
        <w:t>EFV：依非韦伦(Efavirenz)</w:t>
      </w:r>
    </w:p>
    <w:p w:rsidR="00110865" w:rsidRDefault="00943B26">
      <w:pPr>
        <w:pStyle w:val="afffffd"/>
        <w:ind w:firstLine="420"/>
        <w:rPr>
          <w:rFonts w:hAnsi="宋体"/>
          <w:color w:val="000000" w:themeColor="text1"/>
        </w:rPr>
      </w:pPr>
      <w:r>
        <w:rPr>
          <w:rFonts w:hAnsi="宋体" w:hint="eastAsia"/>
          <w:color w:val="000000" w:themeColor="text1"/>
        </w:rPr>
        <w:t>EVG/c/FTC/TAF：艾维雷韦/考</w:t>
      </w:r>
      <w:proofErr w:type="gramStart"/>
      <w:r>
        <w:rPr>
          <w:rFonts w:hAnsi="宋体" w:hint="eastAsia"/>
          <w:color w:val="000000" w:themeColor="text1"/>
        </w:rPr>
        <w:t>比司他/恩曲他滨</w:t>
      </w:r>
      <w:proofErr w:type="gramEnd"/>
      <w:r>
        <w:rPr>
          <w:rFonts w:hAnsi="宋体" w:hint="eastAsia"/>
          <w:color w:val="000000" w:themeColor="text1"/>
        </w:rPr>
        <w:t>/丙</w:t>
      </w:r>
      <w:proofErr w:type="gramStart"/>
      <w:r>
        <w:rPr>
          <w:rFonts w:hAnsi="宋体" w:hint="eastAsia"/>
          <w:color w:val="000000" w:themeColor="text1"/>
        </w:rPr>
        <w:t>酚替诺</w:t>
      </w:r>
      <w:proofErr w:type="gramEnd"/>
      <w:r>
        <w:rPr>
          <w:rFonts w:hAnsi="宋体" w:hint="eastAsia"/>
          <w:color w:val="000000" w:themeColor="text1"/>
        </w:rPr>
        <w:t>福韦 (Elvitegravir / Cobicistat / Emtricitabine / Tenofovir Alafenamide)</w:t>
      </w:r>
    </w:p>
    <w:p w:rsidR="00110865" w:rsidRDefault="00943B26">
      <w:pPr>
        <w:pStyle w:val="afffffd"/>
        <w:ind w:firstLine="420"/>
        <w:rPr>
          <w:rFonts w:hAnsi="宋体"/>
          <w:color w:val="000000" w:themeColor="text1"/>
        </w:rPr>
      </w:pPr>
      <w:r>
        <w:rPr>
          <w:rFonts w:hAnsi="宋体" w:hint="eastAsia"/>
          <w:color w:val="000000" w:themeColor="text1"/>
        </w:rPr>
        <w:t>FTC：</w:t>
      </w:r>
      <w:proofErr w:type="gramStart"/>
      <w:r>
        <w:rPr>
          <w:rFonts w:hAnsi="宋体" w:hint="eastAsia"/>
          <w:color w:val="000000" w:themeColor="text1"/>
        </w:rPr>
        <w:t>恩曲他</w:t>
      </w:r>
      <w:proofErr w:type="gramEnd"/>
      <w:r>
        <w:rPr>
          <w:rFonts w:hAnsi="宋体" w:hint="eastAsia"/>
          <w:color w:val="000000" w:themeColor="text1"/>
        </w:rPr>
        <w:t>滨 (Emtricitabine)</w:t>
      </w:r>
    </w:p>
    <w:p w:rsidR="00110865" w:rsidRDefault="00943B26">
      <w:pPr>
        <w:pStyle w:val="afffffd"/>
        <w:ind w:firstLine="420"/>
        <w:rPr>
          <w:rFonts w:hAnsi="宋体"/>
          <w:color w:val="000000" w:themeColor="text1"/>
        </w:rPr>
      </w:pPr>
      <w:r>
        <w:rPr>
          <w:rFonts w:hAnsi="宋体" w:hint="eastAsia"/>
          <w:color w:val="000000" w:themeColor="text1"/>
        </w:rPr>
        <w:t>HAART：高效抗逆转录病毒治疗（Highly Active Antiretroviral Therapy）</w:t>
      </w:r>
    </w:p>
    <w:p w:rsidR="00110865" w:rsidRDefault="00943B26">
      <w:pPr>
        <w:pStyle w:val="afffffd"/>
        <w:ind w:firstLine="420"/>
        <w:rPr>
          <w:rFonts w:hAnsi="宋体"/>
          <w:color w:val="000000" w:themeColor="text1"/>
        </w:rPr>
      </w:pPr>
      <w:r>
        <w:rPr>
          <w:rFonts w:hAnsi="宋体" w:hint="eastAsia"/>
          <w:color w:val="000000" w:themeColor="text1"/>
        </w:rPr>
        <w:t>HIV：人免疫缺陷病毒（Human Immunodeficiency Virus）</w:t>
      </w:r>
    </w:p>
    <w:p w:rsidR="00110865" w:rsidRDefault="00943B26">
      <w:pPr>
        <w:pStyle w:val="afffffd"/>
        <w:ind w:firstLine="420"/>
        <w:rPr>
          <w:rFonts w:hAnsi="宋体"/>
          <w:color w:val="000000" w:themeColor="text1"/>
        </w:rPr>
      </w:pPr>
      <w:r>
        <w:rPr>
          <w:rFonts w:hAnsi="宋体" w:hint="eastAsia"/>
          <w:color w:val="000000" w:themeColor="text1"/>
        </w:rPr>
        <w:t>IRIS：免疫重建炎症综合征（Immune Reconstitution Inflammatory Syndrome）</w:t>
      </w:r>
    </w:p>
    <w:p w:rsidR="00110865" w:rsidRDefault="00943B26">
      <w:pPr>
        <w:pStyle w:val="afffffd"/>
        <w:ind w:firstLine="420"/>
        <w:rPr>
          <w:rFonts w:hAnsi="宋体"/>
          <w:color w:val="000000" w:themeColor="text1"/>
        </w:rPr>
      </w:pPr>
      <w:r>
        <w:rPr>
          <w:rFonts w:hAnsi="宋体" w:hint="eastAsia"/>
          <w:color w:val="000000" w:themeColor="text1"/>
        </w:rPr>
        <w:t>VL：病毒载量（Viral Load）</w:t>
      </w:r>
    </w:p>
    <w:p w:rsidR="00110865" w:rsidRDefault="00943B26">
      <w:pPr>
        <w:pStyle w:val="afffffd"/>
        <w:ind w:firstLine="420"/>
        <w:rPr>
          <w:rFonts w:hAnsi="宋体"/>
          <w:color w:val="000000" w:themeColor="text1"/>
        </w:rPr>
      </w:pPr>
      <w:r>
        <w:rPr>
          <w:rFonts w:hAnsi="宋体" w:hint="eastAsia"/>
          <w:color w:val="000000" w:themeColor="text1"/>
        </w:rPr>
        <w:t>INSTI：整合酶链转移抑制剂（Integrase Strand Transfer Inhibitors)</w:t>
      </w:r>
    </w:p>
    <w:p w:rsidR="00110865" w:rsidRDefault="00943B26">
      <w:pPr>
        <w:pStyle w:val="afffffd"/>
        <w:ind w:firstLine="420"/>
        <w:rPr>
          <w:rFonts w:hAnsi="宋体"/>
          <w:color w:val="000000" w:themeColor="text1"/>
        </w:rPr>
      </w:pPr>
      <w:r>
        <w:rPr>
          <w:rFonts w:hAnsi="宋体" w:hint="eastAsia"/>
          <w:color w:val="000000" w:themeColor="text1"/>
        </w:rPr>
        <w:t>LPV/r：</w:t>
      </w:r>
      <w:proofErr w:type="gramStart"/>
      <w:r>
        <w:rPr>
          <w:rFonts w:hAnsi="宋体" w:hint="eastAsia"/>
          <w:color w:val="000000" w:themeColor="text1"/>
        </w:rPr>
        <w:t>洛匹那韦/</w:t>
      </w:r>
      <w:proofErr w:type="gramEnd"/>
      <w:r>
        <w:rPr>
          <w:rFonts w:hAnsi="宋体" w:hint="eastAsia"/>
          <w:color w:val="000000" w:themeColor="text1"/>
        </w:rPr>
        <w:t xml:space="preserve"> 利托那韦(Lopinavir / Ritonavir)</w:t>
      </w:r>
    </w:p>
    <w:p w:rsidR="00110865" w:rsidRDefault="00943B26">
      <w:pPr>
        <w:pStyle w:val="afffffd"/>
        <w:ind w:firstLine="420"/>
        <w:rPr>
          <w:rFonts w:hAnsi="宋体"/>
          <w:color w:val="000000" w:themeColor="text1"/>
        </w:rPr>
      </w:pPr>
      <w:r>
        <w:rPr>
          <w:rFonts w:hAnsi="宋体" w:hint="eastAsia"/>
          <w:color w:val="000000" w:themeColor="text1"/>
        </w:rPr>
        <w:t>NNRTI：非核苷类逆转录酶抑制剂（Non-Nucleoside Reverse Transcriptase Inhibitors)</w:t>
      </w:r>
    </w:p>
    <w:p w:rsidR="00110865" w:rsidRDefault="00943B26">
      <w:pPr>
        <w:pStyle w:val="afffffd"/>
        <w:ind w:firstLine="420"/>
        <w:rPr>
          <w:rFonts w:hAnsi="宋体"/>
          <w:color w:val="000000" w:themeColor="text1"/>
        </w:rPr>
      </w:pPr>
      <w:r>
        <w:rPr>
          <w:rFonts w:hAnsi="宋体" w:hint="eastAsia"/>
          <w:color w:val="000000" w:themeColor="text1"/>
        </w:rPr>
        <w:t>NRTI：核苷类逆转录酶抑制剂（Nucleoside Reverse Transcriptase Inhibitors)</w:t>
      </w:r>
    </w:p>
    <w:p w:rsidR="00110865" w:rsidRDefault="00943B26">
      <w:pPr>
        <w:pStyle w:val="afffffd"/>
        <w:ind w:firstLine="420"/>
        <w:rPr>
          <w:rFonts w:hAnsi="宋体"/>
          <w:color w:val="000000" w:themeColor="text1"/>
        </w:rPr>
      </w:pPr>
      <w:r>
        <w:rPr>
          <w:rFonts w:hAnsi="宋体" w:hint="eastAsia"/>
          <w:color w:val="000000" w:themeColor="text1"/>
        </w:rPr>
        <w:t>NVP：</w:t>
      </w:r>
      <w:proofErr w:type="gramStart"/>
      <w:r>
        <w:rPr>
          <w:rFonts w:hAnsi="宋体" w:hint="eastAsia"/>
          <w:color w:val="000000" w:themeColor="text1"/>
        </w:rPr>
        <w:t>奈韦拉平</w:t>
      </w:r>
      <w:proofErr w:type="gramEnd"/>
      <w:r>
        <w:rPr>
          <w:rFonts w:hAnsi="宋体" w:hint="eastAsia"/>
          <w:color w:val="000000" w:themeColor="text1"/>
        </w:rPr>
        <w:t>(Nevirapine)</w:t>
      </w:r>
    </w:p>
    <w:p w:rsidR="00110865" w:rsidRDefault="00943B26">
      <w:pPr>
        <w:pStyle w:val="afffffd"/>
        <w:ind w:firstLine="420"/>
        <w:rPr>
          <w:rFonts w:hAnsi="宋体"/>
          <w:color w:val="000000" w:themeColor="text1"/>
        </w:rPr>
      </w:pPr>
      <w:r>
        <w:rPr>
          <w:rFonts w:hAnsi="宋体" w:hint="eastAsia"/>
          <w:color w:val="000000" w:themeColor="text1"/>
        </w:rPr>
        <w:t>PI：蛋白酶抑制剂（Protease Inhibitors)</w:t>
      </w:r>
    </w:p>
    <w:p w:rsidR="00110865" w:rsidRDefault="00943B26">
      <w:pPr>
        <w:pStyle w:val="afffffd"/>
        <w:ind w:firstLine="420"/>
        <w:rPr>
          <w:rFonts w:hAnsi="宋体"/>
          <w:color w:val="000000" w:themeColor="text1"/>
        </w:rPr>
      </w:pPr>
      <w:r>
        <w:rPr>
          <w:rFonts w:hAnsi="宋体" w:hint="eastAsia"/>
          <w:color w:val="000000" w:themeColor="text1"/>
        </w:rPr>
        <w:t>RAL：</w:t>
      </w:r>
      <w:proofErr w:type="gramStart"/>
      <w:r>
        <w:rPr>
          <w:rFonts w:hAnsi="宋体" w:hint="eastAsia"/>
          <w:color w:val="000000" w:themeColor="text1"/>
        </w:rPr>
        <w:t>拉替拉</w:t>
      </w:r>
      <w:proofErr w:type="gramEnd"/>
      <w:r>
        <w:rPr>
          <w:rFonts w:hAnsi="宋体" w:hint="eastAsia"/>
          <w:color w:val="000000" w:themeColor="text1"/>
        </w:rPr>
        <w:t>韦(</w:t>
      </w:r>
      <w:proofErr w:type="spellStart"/>
      <w:r>
        <w:rPr>
          <w:rFonts w:hAnsi="宋体" w:hint="eastAsia"/>
          <w:color w:val="000000" w:themeColor="text1"/>
        </w:rPr>
        <w:t>Raltegravir</w:t>
      </w:r>
      <w:proofErr w:type="spellEnd"/>
      <w:r>
        <w:rPr>
          <w:rFonts w:hAnsi="宋体" w:hint="eastAsia"/>
          <w:color w:val="000000" w:themeColor="text1"/>
        </w:rPr>
        <w:t>)</w:t>
      </w:r>
    </w:p>
    <w:p w:rsidR="00110865" w:rsidRDefault="00943B26">
      <w:pPr>
        <w:pStyle w:val="afffffd"/>
        <w:ind w:firstLine="420"/>
        <w:rPr>
          <w:rFonts w:hAnsi="宋体"/>
          <w:color w:val="000000" w:themeColor="text1"/>
        </w:rPr>
      </w:pPr>
      <w:r>
        <w:rPr>
          <w:rFonts w:hAnsi="宋体" w:hint="eastAsia"/>
          <w:color w:val="000000" w:themeColor="text1"/>
        </w:rPr>
        <w:t>RPV：</w:t>
      </w:r>
      <w:proofErr w:type="gramStart"/>
      <w:r>
        <w:rPr>
          <w:rFonts w:hAnsi="宋体" w:hint="eastAsia"/>
          <w:color w:val="000000" w:themeColor="text1"/>
        </w:rPr>
        <w:t>利匹韦</w:t>
      </w:r>
      <w:proofErr w:type="gramEnd"/>
      <w:r>
        <w:rPr>
          <w:rFonts w:hAnsi="宋体" w:hint="eastAsia"/>
          <w:color w:val="000000" w:themeColor="text1"/>
        </w:rPr>
        <w:t>林(</w:t>
      </w:r>
      <w:proofErr w:type="spellStart"/>
      <w:r>
        <w:rPr>
          <w:rFonts w:hAnsi="宋体" w:hint="eastAsia"/>
          <w:color w:val="000000" w:themeColor="text1"/>
        </w:rPr>
        <w:t>Rilpivirine</w:t>
      </w:r>
      <w:proofErr w:type="spellEnd"/>
      <w:r>
        <w:rPr>
          <w:rFonts w:hAnsi="宋体" w:hint="eastAsia"/>
          <w:color w:val="000000" w:themeColor="text1"/>
        </w:rPr>
        <w:t>)</w:t>
      </w:r>
    </w:p>
    <w:p w:rsidR="00110865" w:rsidRDefault="00943B26">
      <w:pPr>
        <w:pStyle w:val="afffffd"/>
        <w:ind w:firstLine="420"/>
        <w:rPr>
          <w:rFonts w:hAnsi="宋体"/>
          <w:color w:val="000000" w:themeColor="text1"/>
        </w:rPr>
      </w:pPr>
      <w:r>
        <w:rPr>
          <w:rFonts w:hAnsi="宋体" w:hint="eastAsia"/>
          <w:color w:val="000000" w:themeColor="text1"/>
        </w:rPr>
        <w:t>TAF：富马酸丙</w:t>
      </w:r>
      <w:proofErr w:type="gramStart"/>
      <w:r>
        <w:rPr>
          <w:rFonts w:hAnsi="宋体" w:hint="eastAsia"/>
          <w:color w:val="000000" w:themeColor="text1"/>
        </w:rPr>
        <w:t>酚替诺福韦(</w:t>
      </w:r>
      <w:proofErr w:type="gramEnd"/>
      <w:r>
        <w:rPr>
          <w:rFonts w:hAnsi="宋体" w:hint="eastAsia"/>
          <w:color w:val="000000" w:themeColor="text1"/>
        </w:rPr>
        <w:t>Tenofovir Alafenamide Fumarate)</w:t>
      </w:r>
    </w:p>
    <w:p w:rsidR="00110865" w:rsidRDefault="00943B26">
      <w:pPr>
        <w:pStyle w:val="afffffd"/>
        <w:ind w:firstLine="420"/>
        <w:rPr>
          <w:rFonts w:hAnsi="宋体"/>
          <w:color w:val="000000" w:themeColor="text1"/>
        </w:rPr>
      </w:pPr>
      <w:r>
        <w:rPr>
          <w:rFonts w:hAnsi="宋体" w:hint="eastAsia"/>
          <w:color w:val="000000" w:themeColor="text1"/>
        </w:rPr>
        <w:t>TDF：</w:t>
      </w:r>
      <w:proofErr w:type="gramStart"/>
      <w:r>
        <w:rPr>
          <w:rFonts w:hAnsi="宋体" w:hint="eastAsia"/>
          <w:color w:val="000000" w:themeColor="text1"/>
        </w:rPr>
        <w:t>替诺福</w:t>
      </w:r>
      <w:proofErr w:type="gramEnd"/>
      <w:r>
        <w:rPr>
          <w:rFonts w:hAnsi="宋体" w:hint="eastAsia"/>
          <w:color w:val="000000" w:themeColor="text1"/>
        </w:rPr>
        <w:t>韦 (Tenofovir Disoproxil Fumarate)</w:t>
      </w:r>
    </w:p>
    <w:p w:rsidR="00110865" w:rsidRDefault="00943B26">
      <w:pPr>
        <w:pStyle w:val="afffffd"/>
        <w:ind w:firstLine="420"/>
        <w:rPr>
          <w:rFonts w:hAnsi="宋体"/>
          <w:color w:val="000000" w:themeColor="text1"/>
        </w:rPr>
      </w:pPr>
      <w:r>
        <w:rPr>
          <w:rFonts w:hAnsi="宋体"/>
          <w:color w:val="000000" w:themeColor="text1"/>
        </w:rPr>
        <w:t>3TC</w:t>
      </w:r>
      <w:r>
        <w:rPr>
          <w:rFonts w:hAnsi="宋体" w:hint="eastAsia"/>
          <w:color w:val="000000" w:themeColor="text1"/>
        </w:rPr>
        <w:t>：拉米夫定</w:t>
      </w:r>
      <w:r>
        <w:rPr>
          <w:rFonts w:hAnsi="宋体"/>
          <w:color w:val="000000" w:themeColor="text1"/>
        </w:rPr>
        <w:t>(Lamivudine)</w:t>
      </w:r>
    </w:p>
    <w:p w:rsidR="00110865" w:rsidRDefault="00110865">
      <w:pPr>
        <w:pStyle w:val="afffffd"/>
        <w:ind w:firstLine="420"/>
        <w:rPr>
          <w:rFonts w:hAnsi="宋体"/>
          <w:color w:val="000000" w:themeColor="text1"/>
        </w:rPr>
      </w:pPr>
    </w:p>
    <w:p w:rsidR="00110865" w:rsidRDefault="00110865">
      <w:pPr>
        <w:pStyle w:val="afffffd"/>
        <w:ind w:firstLine="420"/>
        <w:rPr>
          <w:rFonts w:hAnsi="宋体"/>
        </w:rPr>
      </w:pPr>
    </w:p>
    <w:p w:rsidR="00110865" w:rsidRDefault="00943B26">
      <w:pPr>
        <w:pStyle w:val="affc"/>
        <w:spacing w:before="240" w:after="240"/>
      </w:pPr>
      <w:bookmarkStart w:id="79" w:name="_Toc216451298"/>
      <w:bookmarkStart w:id="80" w:name="_Toc224931559"/>
      <w:bookmarkStart w:id="81" w:name="_Toc216431470"/>
      <w:bookmarkStart w:id="82" w:name="_Toc216451270"/>
      <w:bookmarkStart w:id="83" w:name="_Toc224931450"/>
      <w:bookmarkStart w:id="84" w:name="_Toc224929957"/>
      <w:r>
        <w:rPr>
          <w:rFonts w:hint="eastAsia"/>
        </w:rPr>
        <w:lastRenderedPageBreak/>
        <w:t>诊断</w:t>
      </w:r>
      <w:bookmarkEnd w:id="79"/>
      <w:bookmarkEnd w:id="80"/>
      <w:bookmarkEnd w:id="81"/>
      <w:bookmarkEnd w:id="82"/>
      <w:bookmarkEnd w:id="83"/>
      <w:bookmarkEnd w:id="84"/>
    </w:p>
    <w:p w:rsidR="00110865" w:rsidRDefault="00943B26">
      <w:pPr>
        <w:pStyle w:val="afffffffff6"/>
      </w:pPr>
      <w:r>
        <w:rPr>
          <w:rFonts w:hint="eastAsia"/>
        </w:rPr>
        <w:t>18个月龄及以下儿童，符合下列一项者即可诊断HIV感染：</w:t>
      </w:r>
    </w:p>
    <w:p w:rsidR="00110865" w:rsidRDefault="00943B26">
      <w:pPr>
        <w:pStyle w:val="af2"/>
      </w:pPr>
      <w:r>
        <w:rPr>
          <w:rFonts w:hint="eastAsia"/>
        </w:rPr>
        <w:t>为HIV感染母亲所生和2次HIV核酸检测均为阳性（第二次检测需在出生4周后采样进行）；</w:t>
      </w:r>
    </w:p>
    <w:p w:rsidR="00110865" w:rsidRDefault="00943B26">
      <w:pPr>
        <w:pStyle w:val="af2"/>
      </w:pPr>
      <w:r>
        <w:rPr>
          <w:rFonts w:hint="eastAsia"/>
        </w:rPr>
        <w:t>有医源性暴露史，HIV分离试验结果阳性或2次HIV核酸检测均为阳性；</w:t>
      </w:r>
    </w:p>
    <w:p w:rsidR="00110865" w:rsidRDefault="00943B26">
      <w:pPr>
        <w:pStyle w:val="af2"/>
      </w:pPr>
      <w:r>
        <w:rPr>
          <w:rFonts w:hint="eastAsia"/>
        </w:rPr>
        <w:t>为HIV 感染母亲所生和HIV分离试验阳性。</w:t>
      </w:r>
    </w:p>
    <w:p w:rsidR="00110865" w:rsidRDefault="00943B26">
      <w:pPr>
        <w:pStyle w:val="afff2"/>
      </w:pPr>
      <w:r>
        <w:rPr>
          <w:rFonts w:hint="eastAsia"/>
        </w:rPr>
        <w:t>为尽早明确HIV阳性</w:t>
      </w:r>
      <w:proofErr w:type="gramStart"/>
      <w:r>
        <w:rPr>
          <w:rFonts w:hint="eastAsia"/>
        </w:rPr>
        <w:t>孕</w:t>
      </w:r>
      <w:proofErr w:type="gramEnd"/>
      <w:r>
        <w:rPr>
          <w:rFonts w:hint="eastAsia"/>
        </w:rPr>
        <w:t>产妇所生儿童的感染状态，应在婴儿出生后48</w:t>
      </w:r>
      <w:r>
        <w:rPr>
          <w:vertAlign w:val="superscript"/>
        </w:rPr>
        <w:t xml:space="preserve"> </w:t>
      </w:r>
      <w:r>
        <w:rPr>
          <w:rFonts w:hint="eastAsia"/>
        </w:rPr>
        <w:t>h内、6周和3个月时，分别采集血标本，进行婴儿艾滋病感染早期诊断检测（核酸检测）。若两次核酸检测结果均为阳性，可诊断为HIV感染。早期诊断检测结果为阴性或未进行早期诊断检测的儿童，应于12月龄时进行HIV抗体筛查。若筛查结果为阴性者，排除HIV感染；若筛查结果为阳性，则需继续随访至满18月龄，并再次进行HIV抗体检测。若18月龄时抗体检测结果仍为阳性，应及时进行补充实验以明确感染状态。儿童艾滋病感染早期诊断与HIV抗体检测服务流程及结果报告详见《预防艾滋病、梅毒和乙肝母婴传播工作规范（2020年版）》和《全国艾滋病检测技术规范（2025年修订版）》。</w:t>
      </w:r>
    </w:p>
    <w:p w:rsidR="00110865" w:rsidRDefault="00943B26">
      <w:pPr>
        <w:pStyle w:val="afffffffff6"/>
      </w:pPr>
      <w:r>
        <w:rPr>
          <w:rFonts w:hint="eastAsia"/>
        </w:rPr>
        <w:t>18月龄以上儿童，符合下列一项者即可诊断HIV感染：</w:t>
      </w:r>
    </w:p>
    <w:p w:rsidR="00110865" w:rsidRDefault="00943B26">
      <w:pPr>
        <w:pStyle w:val="af2"/>
        <w:rPr>
          <w:rFonts w:hAnsi="宋体"/>
        </w:rPr>
      </w:pPr>
      <w:r>
        <w:rPr>
          <w:rFonts w:hint="eastAsia"/>
        </w:rPr>
        <w:t>HIV抗体筛查试验阳性和HIV补充试验阳性（抗体补充试验阳性或核酸定性检测阳性或核酸</w:t>
      </w:r>
      <w:r>
        <w:rPr>
          <w:rFonts w:hAnsi="宋体" w:hint="eastAsia"/>
        </w:rPr>
        <w:t>定量＞</w:t>
      </w:r>
      <w:r>
        <w:rPr>
          <w:rFonts w:hAnsi="宋体"/>
        </w:rPr>
        <w:t>1</w:t>
      </w:r>
      <w:r>
        <w:rPr>
          <w:rFonts w:hAnsi="宋体" w:hint="eastAsia"/>
        </w:rPr>
        <w:t xml:space="preserve"> </w:t>
      </w:r>
      <w:r>
        <w:rPr>
          <w:rFonts w:hAnsi="宋体"/>
        </w:rPr>
        <w:t>000</w:t>
      </w:r>
      <w:r>
        <w:rPr>
          <w:rFonts w:hAnsi="宋体" w:hint="eastAsia"/>
        </w:rPr>
        <w:t xml:space="preserve"> </w:t>
      </w:r>
      <w:r>
        <w:rPr>
          <w:rFonts w:hAnsi="宋体"/>
        </w:rPr>
        <w:t>CPs</w:t>
      </w:r>
      <w:r>
        <w:rPr>
          <w:rFonts w:hAnsi="宋体" w:hint="eastAsia"/>
        </w:rPr>
        <w:t>/ml）；</w:t>
      </w:r>
    </w:p>
    <w:p w:rsidR="00110865" w:rsidRDefault="00943B26">
      <w:pPr>
        <w:pStyle w:val="af2"/>
      </w:pPr>
      <w:r>
        <w:rPr>
          <w:rFonts w:hint="eastAsia"/>
        </w:rPr>
        <w:t>有流行病学史或AIDS相关临床表现，2次HIV核酸检测均为阳性；</w:t>
      </w:r>
    </w:p>
    <w:p w:rsidR="00110865" w:rsidRDefault="00943B26">
      <w:pPr>
        <w:pStyle w:val="af2"/>
      </w:pPr>
      <w:r>
        <w:rPr>
          <w:rFonts w:hint="eastAsia"/>
        </w:rPr>
        <w:t>HIV分离试验阳性。</w:t>
      </w:r>
    </w:p>
    <w:p w:rsidR="00110865" w:rsidRDefault="00943B26">
      <w:pPr>
        <w:pStyle w:val="affc"/>
        <w:spacing w:before="240" w:after="240"/>
      </w:pPr>
      <w:bookmarkStart w:id="85" w:name="_Toc216431471"/>
      <w:bookmarkStart w:id="86" w:name="_Toc224931560"/>
      <w:bookmarkStart w:id="87" w:name="_Toc224931451"/>
      <w:bookmarkStart w:id="88" w:name="_Toc224929958"/>
      <w:bookmarkStart w:id="89" w:name="_Toc216451271"/>
      <w:bookmarkStart w:id="90" w:name="_Toc216451299"/>
      <w:r>
        <w:rPr>
          <w:rFonts w:hint="eastAsia"/>
        </w:rPr>
        <w:t>治疗前准备</w:t>
      </w:r>
      <w:bookmarkEnd w:id="85"/>
      <w:bookmarkEnd w:id="86"/>
      <w:bookmarkEnd w:id="87"/>
      <w:bookmarkEnd w:id="88"/>
      <w:bookmarkEnd w:id="89"/>
      <w:bookmarkEnd w:id="90"/>
    </w:p>
    <w:p w:rsidR="00110865" w:rsidRDefault="00943B26">
      <w:pPr>
        <w:pStyle w:val="affd"/>
        <w:spacing w:before="120" w:after="120"/>
      </w:pPr>
      <w:r>
        <w:rPr>
          <w:rFonts w:hint="eastAsia"/>
        </w:rPr>
        <w:t>病史采集</w:t>
      </w:r>
    </w:p>
    <w:p w:rsidR="00110865" w:rsidRDefault="00943B26">
      <w:pPr>
        <w:pStyle w:val="afffffffff9"/>
      </w:pPr>
      <w:r>
        <w:rPr>
          <w:rFonts w:hint="eastAsia"/>
        </w:rPr>
        <w:t>一般资料与基础病史，包括儿童及家庭基本信息、主诉、现病史、既往史、出生史、喂养史、生长发育史、预防接种史、家族史等。</w:t>
      </w:r>
    </w:p>
    <w:p w:rsidR="00110865" w:rsidRDefault="00943B26">
      <w:pPr>
        <w:pStyle w:val="afffffffff9"/>
      </w:pPr>
      <w:r>
        <w:rPr>
          <w:rFonts w:hint="eastAsia"/>
        </w:rPr>
        <w:t>重点采集HIV相关病史，包括HIV确证时间、地点及感染途径，母亲HIV感染状况、孕产期健康状态及抗逆转录病毒治疗（ART）情况、孕期是否进行HIV母婴阻断干预，目前的临床分期、ART方案、起始治疗时间、药物耐受性及不良反应史、治疗依从性评估，最近一次及既往CD4+T淋巴细胞计数和百分比、最近一次及既往HIV病毒载量、HIV基因型耐药检测结果，机会性感染与合并症史等。</w:t>
      </w:r>
    </w:p>
    <w:p w:rsidR="00110865" w:rsidRDefault="00943B26">
      <w:pPr>
        <w:pStyle w:val="affd"/>
        <w:spacing w:before="120" w:after="120"/>
      </w:pPr>
      <w:r>
        <w:rPr>
          <w:rFonts w:hint="eastAsia"/>
        </w:rPr>
        <w:t>体格检查</w:t>
      </w:r>
    </w:p>
    <w:p w:rsidR="00110865" w:rsidRDefault="00943B26">
      <w:pPr>
        <w:pStyle w:val="afffffffff9"/>
      </w:pPr>
      <w:r>
        <w:rPr>
          <w:rFonts w:hint="eastAsia"/>
        </w:rPr>
        <w:t>生命体征与一般情况：记录体温、脉搏、心率、呼吸频率、血压、体重；评估神志、精神、反应、面容、营养状况。</w:t>
      </w:r>
    </w:p>
    <w:p w:rsidR="00110865" w:rsidRDefault="00943B26">
      <w:pPr>
        <w:pStyle w:val="afffffffff9"/>
      </w:pPr>
      <w:r>
        <w:rPr>
          <w:rFonts w:hint="eastAsia"/>
        </w:rPr>
        <w:t>系统性体格检查：依次检查皮肤黏膜、浅表淋巴结、头颈部、胸部、腹部、脊柱四肢、肛门及外生殖器、神经系统。</w:t>
      </w:r>
      <w:bookmarkStart w:id="91" w:name="OLE_LINK23"/>
      <w:bookmarkStart w:id="92" w:name="_Hlk224771856"/>
    </w:p>
    <w:p w:rsidR="00110865" w:rsidRDefault="00943B26">
      <w:pPr>
        <w:pStyle w:val="affd"/>
        <w:spacing w:before="120" w:after="120"/>
        <w:rPr>
          <w:rFonts w:ascii="宋体" w:eastAsia="宋体"/>
        </w:rPr>
      </w:pPr>
      <w:r>
        <w:rPr>
          <w:rFonts w:hint="eastAsia"/>
        </w:rPr>
        <w:t>生长发育及性发育评估</w:t>
      </w:r>
      <w:bookmarkEnd w:id="91"/>
      <w:bookmarkEnd w:id="92"/>
    </w:p>
    <w:p w:rsidR="00110865" w:rsidRDefault="00943B26">
      <w:pPr>
        <w:pStyle w:val="afffffffff9"/>
      </w:pPr>
      <w:r>
        <w:rPr>
          <w:rFonts w:hint="eastAsia"/>
        </w:rPr>
        <w:t>生长发育评估：体重、身长（2岁及以下）/身高（2岁以上）及头围。生长水平、体型匀称度及生长速度的综合判定见附录A。对于体格生长异常或营养相关问题者，应及时转介营养专科进行深度评估与干预。</w:t>
      </w:r>
    </w:p>
    <w:p w:rsidR="00110865" w:rsidRDefault="00943B26">
      <w:pPr>
        <w:pStyle w:val="afffffffff9"/>
      </w:pPr>
      <w:r>
        <w:rPr>
          <w:rFonts w:hint="eastAsia"/>
        </w:rPr>
        <w:t>性发育评估：采用Tanner分期标准评估，通过问诊及体检评估性征发育情况，筛查性早熟或青春期延迟。若发现异常迹象，应及时转诊至儿科内分泌专科。</w:t>
      </w:r>
    </w:p>
    <w:p w:rsidR="00110865" w:rsidRDefault="00943B26">
      <w:pPr>
        <w:pStyle w:val="affd"/>
        <w:spacing w:before="120" w:after="120"/>
      </w:pPr>
      <w:r>
        <w:rPr>
          <w:rFonts w:hint="eastAsia"/>
        </w:rPr>
        <w:t>神经认知评估</w:t>
      </w:r>
    </w:p>
    <w:p w:rsidR="00110865" w:rsidRDefault="00943B26">
      <w:pPr>
        <w:pStyle w:val="afffffd"/>
        <w:ind w:firstLine="420"/>
      </w:pPr>
      <w:r>
        <w:rPr>
          <w:rFonts w:hint="eastAsia"/>
        </w:rPr>
        <w:t>遵循儿童脑功能发展规律及不同年龄阶段的发育行为特征，定期对儿童进行心理认知发育评估。每一次随访时至少选择以下方法之一进行心理行为发育监测：</w:t>
      </w:r>
    </w:p>
    <w:p w:rsidR="00110865" w:rsidRDefault="00943B26">
      <w:pPr>
        <w:pStyle w:val="af2"/>
      </w:pPr>
      <w:r>
        <w:rPr>
          <w:rFonts w:hint="eastAsia"/>
        </w:rPr>
        <w:t>儿童生长发育监测图：监测8项儿童行为发育指标（抬头、翻身、独坐、爬行、独站、独走、扶栏上楼梯、双脚跳），了解儿童在监测图中相应月龄的运动发育情况。如果某项运动发育指标至箭头右侧月龄仍未通过，提示有发育偏异的可能；</w:t>
      </w:r>
    </w:p>
    <w:p w:rsidR="00110865" w:rsidRDefault="00943B26">
      <w:pPr>
        <w:pStyle w:val="af2"/>
      </w:pPr>
      <w:r>
        <w:rPr>
          <w:rFonts w:hint="eastAsia"/>
        </w:rPr>
        <w:t>预警征象：根据儿童心理行为发育问题预警征象（见附录B），检查有无相应月龄的发育偏异。出现任何一条预警征象应及当时登记并转诊；</w:t>
      </w:r>
    </w:p>
    <w:p w:rsidR="00110865" w:rsidRDefault="00943B26">
      <w:pPr>
        <w:pStyle w:val="af2"/>
      </w:pPr>
      <w:r>
        <w:rPr>
          <w:rFonts w:hint="eastAsia"/>
        </w:rPr>
        <w:lastRenderedPageBreak/>
        <w:t>标准化量表：使用全国标准化的儿童发育筛查量表，如小儿智能发育筛查量表（DDST）、0～6岁儿童发育筛查量表（DST）、0～6岁儿童神经心理行为量表（儿心量表-II）、GESELL发育量表、韦氏儿童智力测评等进行儿童心理认知发育情况的筛查评估。</w:t>
      </w:r>
    </w:p>
    <w:p w:rsidR="00110865" w:rsidRDefault="00943B26">
      <w:pPr>
        <w:pStyle w:val="affd"/>
        <w:spacing w:before="120" w:after="120"/>
      </w:pPr>
      <w:r>
        <w:rPr>
          <w:rFonts w:hint="eastAsia"/>
        </w:rPr>
        <w:t>心理健康筛查</w:t>
      </w:r>
    </w:p>
    <w:p w:rsidR="00110865" w:rsidRDefault="00943B26">
      <w:pPr>
        <w:pStyle w:val="afffffd"/>
        <w:ind w:firstLine="420"/>
      </w:pPr>
      <w:r>
        <w:rPr>
          <w:rFonts w:hint="eastAsia"/>
        </w:rPr>
        <w:t>可用自评量表和他评量表对儿童青少年进行心理健康筛查，筛查结果用于风险提示与随访管理。每次随访可根据年龄与可实施</w:t>
      </w:r>
      <w:proofErr w:type="gramStart"/>
      <w:r>
        <w:rPr>
          <w:rFonts w:hint="eastAsia"/>
        </w:rPr>
        <w:t>性采用</w:t>
      </w:r>
      <w:proofErr w:type="gramEnd"/>
      <w:r>
        <w:rPr>
          <w:rFonts w:hint="eastAsia"/>
        </w:rPr>
        <w:t>以下工具。</w:t>
      </w:r>
    </w:p>
    <w:p w:rsidR="00110865" w:rsidRDefault="00943B26">
      <w:pPr>
        <w:pStyle w:val="af2"/>
      </w:pPr>
      <w:r>
        <w:rPr>
          <w:rFonts w:hint="eastAsia"/>
        </w:rPr>
        <w:t>自评量表包括但不限于：</w:t>
      </w:r>
    </w:p>
    <w:p w:rsidR="00110865" w:rsidRDefault="00943B26">
      <w:pPr>
        <w:pStyle w:val="2"/>
      </w:pPr>
      <w:r>
        <w:rPr>
          <w:rFonts w:hint="eastAsia"/>
        </w:rPr>
        <w:t>儿童焦虑性情绪障碍筛查表SCARED；</w:t>
      </w:r>
    </w:p>
    <w:p w:rsidR="00110865" w:rsidRDefault="00943B26">
      <w:pPr>
        <w:pStyle w:val="2"/>
      </w:pPr>
      <w:r>
        <w:rPr>
          <w:rFonts w:hint="eastAsia"/>
        </w:rPr>
        <w:t>儿童抑郁量表CDI；</w:t>
      </w:r>
    </w:p>
    <w:p w:rsidR="00110865" w:rsidRDefault="00943B26">
      <w:pPr>
        <w:pStyle w:val="2"/>
      </w:pPr>
      <w:r>
        <w:rPr>
          <w:rFonts w:hint="eastAsia"/>
        </w:rPr>
        <w:t>症状自评量表SCL-90；</w:t>
      </w:r>
    </w:p>
    <w:p w:rsidR="00110865" w:rsidRDefault="00943B26">
      <w:pPr>
        <w:pStyle w:val="2"/>
      </w:pPr>
      <w:r>
        <w:rPr>
          <w:rFonts w:hint="eastAsia"/>
        </w:rPr>
        <w:t>优势与困难问卷（SDQ）自评版本；</w:t>
      </w:r>
    </w:p>
    <w:p w:rsidR="00110865" w:rsidRDefault="00943B26">
      <w:pPr>
        <w:pStyle w:val="2"/>
      </w:pPr>
      <w:r>
        <w:rPr>
          <w:rFonts w:hint="eastAsia"/>
        </w:rPr>
        <w:t>WHO-5幸福感指数（WHO-5）；</w:t>
      </w:r>
    </w:p>
    <w:p w:rsidR="00110865" w:rsidRDefault="00943B26">
      <w:pPr>
        <w:pStyle w:val="2"/>
      </w:pPr>
      <w:r>
        <w:rPr>
          <w:rFonts w:hint="eastAsia"/>
        </w:rPr>
        <w:t>患者健康问卷（PHQ-9）；</w:t>
      </w:r>
    </w:p>
    <w:p w:rsidR="00110865" w:rsidRDefault="00943B26">
      <w:pPr>
        <w:pStyle w:val="2"/>
      </w:pPr>
      <w:r>
        <w:rPr>
          <w:rFonts w:hint="eastAsia"/>
        </w:rPr>
        <w:t>广泛性焦虑障碍量表（GAD-7）。</w:t>
      </w:r>
    </w:p>
    <w:p w:rsidR="00110865" w:rsidRDefault="00943B26">
      <w:pPr>
        <w:pStyle w:val="af2"/>
      </w:pPr>
      <w:r>
        <w:rPr>
          <w:rFonts w:hint="eastAsia"/>
        </w:rPr>
        <w:t>他评量表包括但不限于：</w:t>
      </w:r>
    </w:p>
    <w:p w:rsidR="00110865" w:rsidRDefault="00943B26">
      <w:pPr>
        <w:pStyle w:val="2"/>
      </w:pPr>
      <w:r>
        <w:rPr>
          <w:rFonts w:hint="eastAsia"/>
        </w:rPr>
        <w:t>儿童行为量表CBCL；</w:t>
      </w:r>
    </w:p>
    <w:p w:rsidR="00110865" w:rsidRDefault="00943B26">
      <w:pPr>
        <w:pStyle w:val="2"/>
      </w:pPr>
      <w:proofErr w:type="spellStart"/>
      <w:r>
        <w:rPr>
          <w:rFonts w:hint="eastAsia"/>
        </w:rPr>
        <w:t>Conners</w:t>
      </w:r>
      <w:proofErr w:type="spellEnd"/>
      <w:r>
        <w:rPr>
          <w:rFonts w:hint="eastAsia"/>
        </w:rPr>
        <w:t>量表；</w:t>
      </w:r>
    </w:p>
    <w:p w:rsidR="00110865" w:rsidRDefault="00943B26">
      <w:pPr>
        <w:pStyle w:val="2"/>
      </w:pPr>
      <w:r>
        <w:rPr>
          <w:rFonts w:hint="eastAsia"/>
        </w:rPr>
        <w:t>婴幼儿孤独症筛查量表M-CHAT：；</w:t>
      </w:r>
    </w:p>
    <w:p w:rsidR="00110865" w:rsidRDefault="00943B26">
      <w:pPr>
        <w:pStyle w:val="2"/>
      </w:pPr>
      <w:r>
        <w:rPr>
          <w:rFonts w:hint="eastAsia"/>
        </w:rPr>
        <w:t>优势与困难问卷（SDQ）他评版本。</w:t>
      </w:r>
    </w:p>
    <w:p w:rsidR="00110865" w:rsidRDefault="00943B26">
      <w:pPr>
        <w:pStyle w:val="affd"/>
        <w:spacing w:before="120" w:after="120"/>
      </w:pPr>
      <w:r>
        <w:rPr>
          <w:rFonts w:hint="eastAsia"/>
        </w:rPr>
        <w:t>家庭与社会支持评估</w:t>
      </w:r>
    </w:p>
    <w:p w:rsidR="00110865" w:rsidRDefault="00943B26">
      <w:pPr>
        <w:pStyle w:val="afffffffff9"/>
      </w:pPr>
      <w:r>
        <w:rPr>
          <w:rFonts w:hint="eastAsia"/>
        </w:rPr>
        <w:t>家庭结构与照护能力评估：评估家庭成员构成、家庭关系稳定性、家庭经济状况、居住环境，主要照料者的身份与照护能力、服药督导支持条件、照护者对艾滋病防治知识与技能的掌握程度等。</w:t>
      </w:r>
    </w:p>
    <w:p w:rsidR="00110865" w:rsidRDefault="00943B26">
      <w:pPr>
        <w:pStyle w:val="afffffffff9"/>
      </w:pPr>
      <w:r>
        <w:rPr>
          <w:rFonts w:hint="eastAsia"/>
        </w:rPr>
        <w:t>家庭情感环境与社会心理支持评估：评估家庭成员对儿童的接纳程度，家庭内部及社会环境中存在的艾滋病相关歧视与</w:t>
      </w:r>
      <w:proofErr w:type="gramStart"/>
      <w:r>
        <w:rPr>
          <w:rFonts w:hint="eastAsia"/>
        </w:rPr>
        <w:t>污名化</w:t>
      </w:r>
      <w:proofErr w:type="gramEnd"/>
      <w:r>
        <w:rPr>
          <w:rFonts w:hint="eastAsia"/>
        </w:rPr>
        <w:t>现象，照护者的情绪反应特征及长期照护态度，家庭内部的沟通模式与情感关系质量，以及来自亲友、社区及社会组织的社会支持网络的覆盖范围与有效性。</w:t>
      </w:r>
    </w:p>
    <w:p w:rsidR="00110865" w:rsidRDefault="00943B26">
      <w:pPr>
        <w:pStyle w:val="afffffffff9"/>
      </w:pPr>
      <w:r>
        <w:rPr>
          <w:rFonts w:hint="eastAsia"/>
        </w:rPr>
        <w:t>政策知晓与权益保障评估：评估儿童家庭对艾滋病相关法律权益的知晓程度与实际保障情况，对国家及地方相关福利政策的知晓率与实际利用率，以及政策落地过程中存在的障碍与需求。</w:t>
      </w:r>
    </w:p>
    <w:p w:rsidR="00110865" w:rsidRPr="005878C7" w:rsidRDefault="00943B26">
      <w:pPr>
        <w:pStyle w:val="affd"/>
        <w:spacing w:before="120" w:after="120"/>
      </w:pPr>
      <w:r w:rsidRPr="005878C7">
        <w:rPr>
          <w:rFonts w:hint="eastAsia"/>
        </w:rPr>
        <w:t>抗病毒治疗前宣教</w:t>
      </w:r>
    </w:p>
    <w:p w:rsidR="005878C7" w:rsidRDefault="00943B26" w:rsidP="005878C7">
      <w:pPr>
        <w:pStyle w:val="afffffffff9"/>
      </w:pPr>
      <w:r>
        <w:rPr>
          <w:rFonts w:hint="eastAsia"/>
        </w:rPr>
        <w:t>护士/咨询员</w:t>
      </w:r>
      <w:r w:rsidR="005878C7">
        <w:rPr>
          <w:rFonts w:hint="eastAsia"/>
        </w:rPr>
        <w:t>应</w:t>
      </w:r>
      <w:r>
        <w:rPr>
          <w:rFonts w:hint="eastAsia"/>
        </w:rPr>
        <w:t>为患儿监护人提供系统性的宣教与指导，</w:t>
      </w:r>
      <w:r w:rsidR="005878C7">
        <w:rPr>
          <w:rFonts w:hint="eastAsia"/>
        </w:rPr>
        <w:t>宣教与指导内容</w:t>
      </w:r>
      <w:r>
        <w:rPr>
          <w:rFonts w:hint="eastAsia"/>
        </w:rPr>
        <w:t>包括</w:t>
      </w:r>
      <w:r w:rsidR="005878C7">
        <w:rPr>
          <w:rFonts w:hint="eastAsia"/>
        </w:rPr>
        <w:t>：</w:t>
      </w:r>
    </w:p>
    <w:p w:rsidR="005878C7" w:rsidRDefault="00943B26" w:rsidP="005878C7">
      <w:pPr>
        <w:pStyle w:val="af2"/>
      </w:pPr>
      <w:r>
        <w:rPr>
          <w:rFonts w:hint="eastAsia"/>
        </w:rPr>
        <w:t>艾滋病基础知识</w:t>
      </w:r>
      <w:r w:rsidR="005878C7">
        <w:rPr>
          <w:rFonts w:hint="eastAsia"/>
        </w:rPr>
        <w:t>；</w:t>
      </w:r>
    </w:p>
    <w:p w:rsidR="005878C7" w:rsidRDefault="00943B26" w:rsidP="005878C7">
      <w:pPr>
        <w:pStyle w:val="af2"/>
      </w:pPr>
      <w:r>
        <w:rPr>
          <w:rFonts w:hint="eastAsia"/>
        </w:rPr>
        <w:t>抗病毒治疗的必要性</w:t>
      </w:r>
      <w:r w:rsidR="005878C7">
        <w:rPr>
          <w:rFonts w:hint="eastAsia"/>
        </w:rPr>
        <w:t>；</w:t>
      </w:r>
    </w:p>
    <w:p w:rsidR="005878C7" w:rsidRDefault="00943B26" w:rsidP="005878C7">
      <w:pPr>
        <w:pStyle w:val="af2"/>
      </w:pPr>
      <w:r>
        <w:rPr>
          <w:rFonts w:hint="eastAsia"/>
        </w:rPr>
        <w:t>具体治疗方案</w:t>
      </w:r>
      <w:r w:rsidR="005878C7">
        <w:rPr>
          <w:rFonts w:hint="eastAsia"/>
        </w:rPr>
        <w:t>；</w:t>
      </w:r>
    </w:p>
    <w:p w:rsidR="005878C7" w:rsidRDefault="00943B26" w:rsidP="005878C7">
      <w:pPr>
        <w:pStyle w:val="af2"/>
      </w:pPr>
      <w:r>
        <w:rPr>
          <w:rFonts w:hint="eastAsia"/>
        </w:rPr>
        <w:t>药物不良反应的监测与应对方法</w:t>
      </w:r>
      <w:r w:rsidR="005878C7">
        <w:rPr>
          <w:rFonts w:hint="eastAsia"/>
        </w:rPr>
        <w:t>；</w:t>
      </w:r>
    </w:p>
    <w:p w:rsidR="005878C7" w:rsidRDefault="00943B26" w:rsidP="005878C7">
      <w:pPr>
        <w:pStyle w:val="af2"/>
      </w:pPr>
      <w:r>
        <w:rPr>
          <w:rFonts w:hint="eastAsia"/>
        </w:rPr>
        <w:t>服药技巧</w:t>
      </w:r>
      <w:r w:rsidR="005878C7">
        <w:rPr>
          <w:rFonts w:hint="eastAsia"/>
        </w:rPr>
        <w:t>；</w:t>
      </w:r>
    </w:p>
    <w:p w:rsidR="005878C7" w:rsidRDefault="00943B26" w:rsidP="005878C7">
      <w:pPr>
        <w:pStyle w:val="af2"/>
      </w:pPr>
      <w:r>
        <w:rPr>
          <w:rFonts w:hint="eastAsia"/>
        </w:rPr>
        <w:t>长期服药依从性教育</w:t>
      </w:r>
      <w:r w:rsidR="005878C7">
        <w:rPr>
          <w:rFonts w:hint="eastAsia"/>
        </w:rPr>
        <w:t>；</w:t>
      </w:r>
    </w:p>
    <w:p w:rsidR="005878C7" w:rsidRDefault="00943B26" w:rsidP="005878C7">
      <w:pPr>
        <w:pStyle w:val="af2"/>
      </w:pPr>
      <w:r>
        <w:rPr>
          <w:rFonts w:hint="eastAsia"/>
        </w:rPr>
        <w:t>随访安排与治疗监测计划</w:t>
      </w:r>
      <w:r w:rsidR="005878C7">
        <w:rPr>
          <w:rFonts w:hint="eastAsia"/>
        </w:rPr>
        <w:t>；</w:t>
      </w:r>
    </w:p>
    <w:p w:rsidR="005878C7" w:rsidRDefault="00943B26" w:rsidP="005878C7">
      <w:pPr>
        <w:pStyle w:val="af2"/>
      </w:pPr>
      <w:r>
        <w:rPr>
          <w:rFonts w:hint="eastAsia"/>
        </w:rPr>
        <w:t>家庭护理与支持建议</w:t>
      </w:r>
      <w:r w:rsidR="005878C7">
        <w:rPr>
          <w:rFonts w:hint="eastAsia"/>
        </w:rPr>
        <w:t>；</w:t>
      </w:r>
    </w:p>
    <w:p w:rsidR="005878C7" w:rsidRDefault="00943B26" w:rsidP="005878C7">
      <w:pPr>
        <w:pStyle w:val="af2"/>
      </w:pPr>
      <w:r>
        <w:rPr>
          <w:rFonts w:hint="eastAsia"/>
        </w:rPr>
        <w:t>心理支持与社会资源介绍</w:t>
      </w:r>
      <w:r w:rsidR="005878C7">
        <w:rPr>
          <w:rFonts w:hint="eastAsia"/>
        </w:rPr>
        <w:t>。</w:t>
      </w:r>
    </w:p>
    <w:p w:rsidR="00110865" w:rsidRDefault="00943B26" w:rsidP="005878C7">
      <w:pPr>
        <w:pStyle w:val="afffffffff9"/>
      </w:pPr>
      <w:r>
        <w:rPr>
          <w:rFonts w:hint="eastAsia"/>
        </w:rPr>
        <w:t>应对主要照护者进行系统的治疗依从性教育与能力评估，并需结合患儿的年龄、认知水平及家庭具体情况，与其监护人共同探讨商定初步、个体化且渐进式的HIV感染病情告知计划。</w:t>
      </w:r>
    </w:p>
    <w:p w:rsidR="00110865" w:rsidRDefault="00943B26">
      <w:pPr>
        <w:pStyle w:val="affd"/>
        <w:spacing w:before="120" w:after="120"/>
      </w:pPr>
      <w:r>
        <w:rPr>
          <w:rFonts w:hint="eastAsia"/>
        </w:rPr>
        <w:t>基线检查</w:t>
      </w:r>
    </w:p>
    <w:p w:rsidR="00110865" w:rsidRDefault="00943B26">
      <w:pPr>
        <w:pStyle w:val="afffffd"/>
        <w:ind w:firstLine="420"/>
        <w:rPr>
          <w:color w:val="000000" w:themeColor="text1"/>
        </w:rPr>
      </w:pPr>
      <w:r>
        <w:rPr>
          <w:rFonts w:hint="eastAsia"/>
          <w:color w:val="000000" w:themeColor="text1"/>
        </w:rPr>
        <w:t>包括</w:t>
      </w:r>
      <w:r>
        <w:rPr>
          <w:color w:val="000000" w:themeColor="text1"/>
        </w:rPr>
        <w:t>CD4</w:t>
      </w:r>
      <w:r>
        <w:rPr>
          <w:color w:val="000000" w:themeColor="text1"/>
          <w:vertAlign w:val="superscript"/>
        </w:rPr>
        <w:t>+</w:t>
      </w:r>
      <w:r>
        <w:rPr>
          <w:color w:val="000000" w:themeColor="text1"/>
        </w:rPr>
        <w:t>T</w:t>
      </w:r>
      <w:r>
        <w:rPr>
          <w:rFonts w:hint="eastAsia"/>
          <w:color w:val="000000" w:themeColor="text1"/>
        </w:rPr>
        <w:t>淋巴细胞计数及百分比、</w:t>
      </w:r>
      <w:r>
        <w:rPr>
          <w:color w:val="000000" w:themeColor="text1"/>
        </w:rPr>
        <w:t>HIV</w:t>
      </w:r>
      <w:r>
        <w:rPr>
          <w:rFonts w:hint="eastAsia"/>
          <w:color w:val="000000" w:themeColor="text1"/>
        </w:rPr>
        <w:t>病毒载量、</w:t>
      </w:r>
      <w:r>
        <w:rPr>
          <w:color w:val="000000" w:themeColor="text1"/>
        </w:rPr>
        <w:t>HIV</w:t>
      </w:r>
      <w:r>
        <w:rPr>
          <w:rFonts w:hint="eastAsia"/>
          <w:color w:val="000000" w:themeColor="text1"/>
        </w:rPr>
        <w:t>基因型耐药检测（有条件时推荐）、血常规、尿常规、肝功能、肾功能、血脂、血糖、乙型肝炎病毒血清学标志物、丙型肝炎抗体检测、梅毒血清学检测、胸部</w:t>
      </w:r>
      <w:r>
        <w:rPr>
          <w:color w:val="000000" w:themeColor="text1"/>
        </w:rPr>
        <w:t>X</w:t>
      </w:r>
      <w:r>
        <w:rPr>
          <w:rFonts w:hint="eastAsia"/>
          <w:color w:val="000000" w:themeColor="text1"/>
        </w:rPr>
        <w:t>线检查、心电图、腹部超声等。</w:t>
      </w:r>
    </w:p>
    <w:p w:rsidR="00110865" w:rsidRDefault="00943B26">
      <w:pPr>
        <w:pStyle w:val="affc"/>
        <w:spacing w:before="240" w:after="240"/>
      </w:pPr>
      <w:bookmarkStart w:id="93" w:name="_Toc224931452"/>
      <w:bookmarkStart w:id="94" w:name="_Toc224931561"/>
      <w:r>
        <w:rPr>
          <w:rFonts w:hint="eastAsia"/>
        </w:rPr>
        <w:t>抗病毒治疗</w:t>
      </w:r>
      <w:bookmarkEnd w:id="93"/>
      <w:bookmarkEnd w:id="94"/>
    </w:p>
    <w:p w:rsidR="00110865" w:rsidRDefault="00943B26">
      <w:pPr>
        <w:pStyle w:val="affd"/>
        <w:spacing w:before="120" w:after="120"/>
      </w:pPr>
      <w:r>
        <w:rPr>
          <w:rFonts w:hint="eastAsia"/>
        </w:rPr>
        <w:lastRenderedPageBreak/>
        <w:t>初治</w:t>
      </w:r>
    </w:p>
    <w:p w:rsidR="00110865" w:rsidRDefault="00943B26">
      <w:pPr>
        <w:pStyle w:val="afffffd"/>
        <w:ind w:firstLine="420"/>
      </w:pPr>
      <w:r>
        <w:rPr>
          <w:rFonts w:hint="eastAsia"/>
        </w:rPr>
        <w:t>宜采用2种核苷类骨干药物联合第三类抗病毒药物。第三类药物可选择整合酶抑制剂、非核苷类药物或增强型蛋白酶抑制剂。根据我国现阶段儿童HIV抗病毒治疗药物的可及性情况，HIV感染儿童抗病毒治疗方案见表C.1,儿童常用的HIV抗反转录病毒药物见表C.2。</w:t>
      </w:r>
    </w:p>
    <w:p w:rsidR="00110865" w:rsidRDefault="00943B26">
      <w:pPr>
        <w:pStyle w:val="affd"/>
        <w:spacing w:before="120" w:after="120"/>
      </w:pPr>
      <w:r>
        <w:rPr>
          <w:rFonts w:hint="eastAsia"/>
        </w:rPr>
        <w:t>抗病毒治疗</w:t>
      </w:r>
    </w:p>
    <w:p w:rsidR="00110865" w:rsidRDefault="00943B26">
      <w:pPr>
        <w:pStyle w:val="afffffffff9"/>
      </w:pPr>
      <w:r>
        <w:rPr>
          <w:rFonts w:hint="eastAsia"/>
        </w:rPr>
        <w:t>所有确诊HIV感染的儿童，无论其CD4细胞计数高低或临床分期如何，应立即启动抗病毒治疗。</w:t>
      </w:r>
    </w:p>
    <w:p w:rsidR="00110865" w:rsidRDefault="00943B26">
      <w:pPr>
        <w:pStyle w:val="afffffffff9"/>
      </w:pPr>
      <w:r>
        <w:rPr>
          <w:rFonts w:hint="eastAsia"/>
        </w:rPr>
        <w:t>对于</w:t>
      </w:r>
      <w:bookmarkStart w:id="95" w:name="OLE_LINK7"/>
      <w:r>
        <w:rPr>
          <w:rFonts w:hint="eastAsia"/>
        </w:rPr>
        <w:t>合并机会性感染</w:t>
      </w:r>
      <w:bookmarkEnd w:id="95"/>
      <w:r>
        <w:rPr>
          <w:rFonts w:hint="eastAsia"/>
        </w:rPr>
        <w:t>的HIV感染儿童，ART启动时机应个体化评估，合并机会性感染治疗如下：</w:t>
      </w:r>
    </w:p>
    <w:p w:rsidR="00110865" w:rsidRDefault="00943B26" w:rsidP="00B96CA5">
      <w:pPr>
        <w:pStyle w:val="af2"/>
      </w:pPr>
      <w:r>
        <w:rPr>
          <w:rFonts w:hint="eastAsia"/>
        </w:rPr>
        <w:t>合并结核病（无中枢神经系统受累）：宜在抗结核治疗后2周内尽快启动ART，以降低死亡率；</w:t>
      </w:r>
    </w:p>
    <w:p w:rsidR="00110865" w:rsidRDefault="00943B26" w:rsidP="00B96CA5">
      <w:pPr>
        <w:pStyle w:val="af2"/>
      </w:pPr>
      <w:r>
        <w:rPr>
          <w:rFonts w:hint="eastAsia"/>
        </w:rPr>
        <w:t>合并结核性脑膜炎：宜在规范抗结核治疗4～8周后，再考虑启动ART；</w:t>
      </w:r>
    </w:p>
    <w:p w:rsidR="00110865" w:rsidRDefault="00943B26" w:rsidP="00B96CA5">
      <w:pPr>
        <w:pStyle w:val="af2"/>
      </w:pPr>
      <w:r>
        <w:rPr>
          <w:rFonts w:hint="eastAsia"/>
        </w:rPr>
        <w:t>合并隐球菌性脑膜炎：宜在规范抗隐球菌治疗至少4～6周，且脑脊液真菌学培养结果转阴后，方可考虑谨慎启动ART；</w:t>
      </w:r>
    </w:p>
    <w:p w:rsidR="00110865" w:rsidRDefault="00943B26" w:rsidP="00B96CA5">
      <w:pPr>
        <w:pStyle w:val="af2"/>
      </w:pPr>
      <w:r>
        <w:rPr>
          <w:rFonts w:hint="eastAsia"/>
        </w:rPr>
        <w:t>合并其他严重机会性感染或合并疾病：应积极控制急性感染或合并疾病，在急性感染得到有效控制、病情稳定后，应尽早启动ART。启动后需密切监测IRIS。</w:t>
      </w:r>
    </w:p>
    <w:p w:rsidR="00110865" w:rsidRDefault="00943B26">
      <w:pPr>
        <w:pStyle w:val="affd"/>
        <w:spacing w:before="120" w:after="120"/>
      </w:pPr>
      <w:r>
        <w:rPr>
          <w:rFonts w:hint="eastAsia"/>
        </w:rPr>
        <w:t>治疗方案调整</w:t>
      </w:r>
    </w:p>
    <w:p w:rsidR="00110865" w:rsidRDefault="00943B26">
      <w:pPr>
        <w:pStyle w:val="affe"/>
        <w:spacing w:before="120" w:after="120"/>
      </w:pPr>
      <w:r>
        <w:rPr>
          <w:rFonts w:hint="eastAsia"/>
        </w:rPr>
        <w:t>合并</w:t>
      </w:r>
      <w:proofErr w:type="gramStart"/>
      <w:r>
        <w:rPr>
          <w:rFonts w:hint="eastAsia"/>
        </w:rPr>
        <w:t>结核病时抗病毒</w:t>
      </w:r>
      <w:proofErr w:type="gramEnd"/>
      <w:r>
        <w:rPr>
          <w:rFonts w:hint="eastAsia"/>
        </w:rPr>
        <w:t>治疗方案调整原则</w:t>
      </w:r>
    </w:p>
    <w:p w:rsidR="00110865" w:rsidRDefault="00943B26">
      <w:pPr>
        <w:pStyle w:val="afffffd"/>
        <w:ind w:firstLine="420"/>
      </w:pPr>
      <w:r>
        <w:rPr>
          <w:rFonts w:hint="eastAsia"/>
        </w:rPr>
        <w:t>当HIV感染儿童在接受ART期间出现活动性结核病时，应同时进行抗结核治疗与ART。</w:t>
      </w:r>
    </w:p>
    <w:p w:rsidR="00110865" w:rsidRDefault="00943B26">
      <w:pPr>
        <w:pStyle w:val="afff2"/>
      </w:pPr>
      <w:r>
        <w:rPr>
          <w:rFonts w:hint="eastAsia"/>
        </w:rPr>
        <w:t>抗结核核心药物利福平为强效肝酶诱导剂，可与部分抗病毒药物（如LPV/r、NVP）产生显著相互作用。</w:t>
      </w:r>
    </w:p>
    <w:p w:rsidR="00110865" w:rsidRDefault="00943B26">
      <w:pPr>
        <w:pStyle w:val="affe"/>
        <w:spacing w:before="120" w:after="120"/>
      </w:pPr>
      <w:r>
        <w:rPr>
          <w:rFonts w:hint="eastAsia"/>
        </w:rPr>
        <w:t>含利福平方案下的抗病毒治疗方案调整</w:t>
      </w:r>
    </w:p>
    <w:p w:rsidR="00110865" w:rsidRDefault="00943B26">
      <w:pPr>
        <w:pStyle w:val="afffffd"/>
        <w:ind w:firstLine="420"/>
      </w:pPr>
      <w:r>
        <w:rPr>
          <w:rFonts w:hint="eastAsia"/>
        </w:rPr>
        <w:t>若采用含利福平的抗结核方案，宜将抗病毒方案调整为依非韦伦（EFV）或多替拉韦（DTG）联合两种核苷类反转录酶抑制剂。使用DTG时，应在保持单次给药剂量不变的基础上，将给药频率从每24</w:t>
      </w:r>
      <w:r>
        <w:rPr>
          <w:vertAlign w:val="superscript"/>
        </w:rPr>
        <w:t xml:space="preserve"> </w:t>
      </w:r>
      <w:r>
        <w:rPr>
          <w:rFonts w:hint="eastAsia"/>
        </w:rPr>
        <w:t>h</w:t>
      </w:r>
      <w:r>
        <w:t>/</w:t>
      </w:r>
      <w:r>
        <w:rPr>
          <w:rFonts w:hint="eastAsia"/>
        </w:rPr>
        <w:t>次调整为每12</w:t>
      </w:r>
      <w:r>
        <w:rPr>
          <w:vertAlign w:val="superscript"/>
        </w:rPr>
        <w:t xml:space="preserve"> </w:t>
      </w:r>
      <w:r>
        <w:rPr>
          <w:rFonts w:hint="eastAsia"/>
        </w:rPr>
        <w:t>h</w:t>
      </w:r>
      <w:r>
        <w:t>/</w:t>
      </w:r>
      <w:r>
        <w:rPr>
          <w:rFonts w:hint="eastAsia"/>
        </w:rPr>
        <w:t>次。</w:t>
      </w:r>
    </w:p>
    <w:p w:rsidR="00110865" w:rsidRDefault="00943B26">
      <w:pPr>
        <w:pStyle w:val="affe"/>
        <w:spacing w:before="120" w:after="120"/>
      </w:pPr>
      <w:r>
        <w:rPr>
          <w:rFonts w:hint="eastAsia"/>
        </w:rPr>
        <w:t>含利福布汀方案下的抗病毒治疗方案调整</w:t>
      </w:r>
    </w:p>
    <w:p w:rsidR="00110865" w:rsidRDefault="00943B26">
      <w:pPr>
        <w:pStyle w:val="afffffd"/>
        <w:ind w:firstLine="420"/>
      </w:pPr>
      <w:r>
        <w:rPr>
          <w:rFonts w:hint="eastAsia"/>
        </w:rPr>
        <w:t>若将抗结核治疗方案中的利福平更换为利福布汀，抗HIV治疗可优先选择基于DTG的方案。此时应根据联合使用的抗HIV药物对利福布汀的剂量进行相应调整，抗HIV药物本身通常无需调整。具体方案如下：</w:t>
      </w:r>
    </w:p>
    <w:p w:rsidR="00110865" w:rsidRDefault="00943B26">
      <w:pPr>
        <w:pStyle w:val="af2"/>
      </w:pPr>
      <w:r>
        <w:rPr>
          <w:rFonts w:hint="eastAsia"/>
        </w:rPr>
        <w:t>联合使用DTG：两种药物均采用常规剂量，即DTG 50</w:t>
      </w:r>
      <w:r>
        <w:rPr>
          <w:vertAlign w:val="superscript"/>
        </w:rPr>
        <w:t xml:space="preserve"> </w:t>
      </w:r>
      <w:r>
        <w:rPr>
          <w:rFonts w:hint="eastAsia"/>
        </w:rPr>
        <w:t>mg每日一次，利福布汀300</w:t>
      </w:r>
      <w:r>
        <w:rPr>
          <w:vertAlign w:val="superscript"/>
        </w:rPr>
        <w:t xml:space="preserve"> </w:t>
      </w:r>
      <w:r>
        <w:rPr>
          <w:rFonts w:hint="eastAsia"/>
        </w:rPr>
        <w:t>mg每日1次；</w:t>
      </w:r>
    </w:p>
    <w:p w:rsidR="00110865" w:rsidRDefault="00943B26">
      <w:pPr>
        <w:pStyle w:val="af2"/>
      </w:pPr>
      <w:r>
        <w:rPr>
          <w:rFonts w:hint="eastAsia"/>
        </w:rPr>
        <w:t>联合使用LPV/r：LPV/r按常规剂量给药，利福布汀需减量至150</w:t>
      </w:r>
      <w:r>
        <w:rPr>
          <w:vertAlign w:val="superscript"/>
        </w:rPr>
        <w:t xml:space="preserve"> </w:t>
      </w:r>
      <w:r>
        <w:rPr>
          <w:rFonts w:hint="eastAsia"/>
        </w:rPr>
        <w:t>mg每日1次；</w:t>
      </w:r>
    </w:p>
    <w:p w:rsidR="00110865" w:rsidRDefault="00943B26">
      <w:pPr>
        <w:pStyle w:val="af2"/>
      </w:pPr>
      <w:r>
        <w:rPr>
          <w:rFonts w:hint="eastAsia"/>
        </w:rPr>
        <w:t>联合使用EFV：EFV按常规剂量（400</w:t>
      </w:r>
      <w:r>
        <w:rPr>
          <w:vertAlign w:val="superscript"/>
        </w:rPr>
        <w:t xml:space="preserve"> </w:t>
      </w:r>
      <w:r>
        <w:rPr>
          <w:rFonts w:hint="eastAsia"/>
        </w:rPr>
        <w:t>mg每日一次）给药，利福布汀需增量至450</w:t>
      </w:r>
      <w:r>
        <w:rPr>
          <w:vertAlign w:val="superscript"/>
        </w:rPr>
        <w:t xml:space="preserve"> </w:t>
      </w:r>
      <w:r>
        <w:rPr>
          <w:rFonts w:hint="eastAsia"/>
        </w:rPr>
        <w:t>mg每日1次。</w:t>
      </w:r>
    </w:p>
    <w:p w:rsidR="00110865" w:rsidRDefault="00943B26">
      <w:pPr>
        <w:pStyle w:val="affc"/>
        <w:spacing w:before="240" w:after="240"/>
      </w:pPr>
      <w:bookmarkStart w:id="96" w:name="_Toc224931562"/>
      <w:bookmarkStart w:id="97" w:name="_Toc224931453"/>
      <w:bookmarkStart w:id="98" w:name="_Toc224929959"/>
      <w:r>
        <w:rPr>
          <w:rFonts w:hint="eastAsia"/>
        </w:rPr>
        <w:t>随访管理</w:t>
      </w:r>
      <w:bookmarkEnd w:id="96"/>
      <w:bookmarkEnd w:id="97"/>
      <w:bookmarkEnd w:id="98"/>
    </w:p>
    <w:p w:rsidR="00110865" w:rsidRDefault="00943B26">
      <w:pPr>
        <w:pStyle w:val="affd"/>
        <w:spacing w:before="120" w:after="120"/>
      </w:pPr>
      <w:r>
        <w:rPr>
          <w:rFonts w:hint="eastAsia"/>
        </w:rPr>
        <w:t>随访频次</w:t>
      </w:r>
    </w:p>
    <w:p w:rsidR="00110865" w:rsidRDefault="00943B26">
      <w:pPr>
        <w:pStyle w:val="afffffffff9"/>
      </w:pPr>
      <w:r>
        <w:rPr>
          <w:rFonts w:hint="eastAsia"/>
        </w:rPr>
        <w:t>接受抗病毒治疗的HIV感染儿童应接受系统、终生的随访监测，并提供持续的综合支持。随访频次应根据治疗阶段、病毒学应答情况及临床状况进行个体化调整。具体随访及检测时间安排详见附录D。</w:t>
      </w:r>
    </w:p>
    <w:p w:rsidR="00110865" w:rsidRDefault="00943B26">
      <w:pPr>
        <w:pStyle w:val="afffffffff9"/>
      </w:pPr>
      <w:r>
        <w:rPr>
          <w:rFonts w:hint="eastAsia"/>
        </w:rPr>
        <w:t>治疗初始期（启动治疗后6个月内）：宜在启动治疗后第2周、1个月、2个月、3个月、6个月进行规范随访。</w:t>
      </w:r>
    </w:p>
    <w:p w:rsidR="00110865" w:rsidRDefault="00943B26">
      <w:pPr>
        <w:pStyle w:val="afffffffff9"/>
      </w:pPr>
      <w:r>
        <w:rPr>
          <w:rFonts w:hint="eastAsia"/>
        </w:rPr>
        <w:t>治疗稳定期（治疗6个月后）：</w:t>
      </w:r>
      <w:proofErr w:type="gramStart"/>
      <w:r>
        <w:rPr>
          <w:rFonts w:hint="eastAsia"/>
        </w:rPr>
        <w:t>若儿童</w:t>
      </w:r>
      <w:proofErr w:type="gramEnd"/>
      <w:r>
        <w:rPr>
          <w:rFonts w:hint="eastAsia"/>
        </w:rPr>
        <w:t>治疗耐受性良好，并已实现并维持病毒学抑制，可转入治疗稳定期随访模式。宜每3个月 随访1次。若出现临床不适、疑似治疗失败或依从性下降等情况，应及时恢复更密集的随访频次。</w:t>
      </w:r>
    </w:p>
    <w:p w:rsidR="00110865" w:rsidRDefault="00943B26">
      <w:pPr>
        <w:pStyle w:val="affd"/>
        <w:spacing w:before="120" w:after="120"/>
      </w:pPr>
      <w:r>
        <w:rPr>
          <w:rFonts w:hint="eastAsia"/>
        </w:rPr>
        <w:t>随访管理机制</w:t>
      </w:r>
    </w:p>
    <w:p w:rsidR="00110865" w:rsidRDefault="00943B26">
      <w:pPr>
        <w:pStyle w:val="affe"/>
        <w:spacing w:before="120" w:after="120"/>
      </w:pPr>
      <w:r>
        <w:rPr>
          <w:rFonts w:hint="eastAsia"/>
        </w:rPr>
        <w:t>预约与提醒机制</w:t>
      </w:r>
    </w:p>
    <w:p w:rsidR="00110865" w:rsidRDefault="00943B26">
      <w:pPr>
        <w:pStyle w:val="afffffd"/>
        <w:ind w:firstLine="420"/>
      </w:pPr>
      <w:r>
        <w:rPr>
          <w:rFonts w:hint="eastAsia"/>
        </w:rPr>
        <w:lastRenderedPageBreak/>
        <w:t>应利用预约卡、电子系统等为每名儿童建立个体化随访计划。在随访节点前，应通过电话、短信、</w:t>
      </w:r>
      <w:proofErr w:type="gramStart"/>
      <w:r>
        <w:rPr>
          <w:rFonts w:hint="eastAsia"/>
        </w:rPr>
        <w:t>微信或</w:t>
      </w:r>
      <w:proofErr w:type="gramEnd"/>
      <w:r>
        <w:rPr>
          <w:rFonts w:hint="eastAsia"/>
        </w:rPr>
        <w:t>APP等多渠道实施主动提醒。</w:t>
      </w:r>
    </w:p>
    <w:p w:rsidR="00110865" w:rsidRDefault="00943B26">
      <w:pPr>
        <w:pStyle w:val="affe"/>
        <w:spacing w:before="120" w:after="120"/>
      </w:pPr>
      <w:r>
        <w:rPr>
          <w:rFonts w:hint="eastAsia"/>
        </w:rPr>
        <w:t>治疗脱失追踪与干预</w:t>
      </w:r>
    </w:p>
    <w:p w:rsidR="00110865" w:rsidRDefault="00943B26">
      <w:pPr>
        <w:pStyle w:val="afffffd"/>
        <w:ind w:firstLine="420"/>
      </w:pPr>
      <w:r>
        <w:rPr>
          <w:rFonts w:hint="eastAsia"/>
        </w:rPr>
        <w:t>针对脱失病例，应立即启动个案追踪程序。由个案管理师牵头，通过电话</w:t>
      </w:r>
      <w:proofErr w:type="gramStart"/>
      <w:r>
        <w:rPr>
          <w:rFonts w:hint="eastAsia"/>
        </w:rPr>
        <w:t>深访或</w:t>
      </w:r>
      <w:proofErr w:type="gramEnd"/>
      <w:r>
        <w:rPr>
          <w:rFonts w:hint="eastAsia"/>
        </w:rPr>
        <w:t>家庭访视</w:t>
      </w:r>
      <w:proofErr w:type="gramStart"/>
      <w:r>
        <w:rPr>
          <w:rFonts w:hint="eastAsia"/>
        </w:rPr>
        <w:t>核实失访原因</w:t>
      </w:r>
      <w:proofErr w:type="gramEnd"/>
      <w:r>
        <w:rPr>
          <w:rFonts w:hint="eastAsia"/>
        </w:rPr>
        <w:t>；必要时</w:t>
      </w:r>
      <w:proofErr w:type="gramStart"/>
      <w:r>
        <w:rPr>
          <w:rFonts w:hint="eastAsia"/>
        </w:rPr>
        <w:t>联动疾控中心</w:t>
      </w:r>
      <w:proofErr w:type="gramEnd"/>
      <w:r>
        <w:rPr>
          <w:rFonts w:hint="eastAsia"/>
        </w:rPr>
        <w:t>实施专业干预，并引入社会组织提供心理支持及同伴教育等协同支持。定期汇总分析脱失原因，形成分析报告。</w:t>
      </w:r>
    </w:p>
    <w:p w:rsidR="00110865" w:rsidRDefault="00943B26">
      <w:pPr>
        <w:pStyle w:val="affd"/>
        <w:spacing w:before="120" w:after="120"/>
      </w:pPr>
      <w:r>
        <w:rPr>
          <w:rFonts w:hint="eastAsia"/>
        </w:rPr>
        <w:t>随访内容</w:t>
      </w:r>
    </w:p>
    <w:p w:rsidR="00110865" w:rsidRDefault="00943B26">
      <w:pPr>
        <w:pStyle w:val="affe"/>
        <w:spacing w:before="120" w:after="120"/>
      </w:pPr>
      <w:r>
        <w:rPr>
          <w:rFonts w:hint="eastAsia"/>
        </w:rPr>
        <w:t>疗效评估</w:t>
      </w:r>
    </w:p>
    <w:p w:rsidR="00110865" w:rsidRDefault="00943B26">
      <w:pPr>
        <w:pStyle w:val="afff"/>
        <w:spacing w:before="120" w:after="120"/>
      </w:pPr>
      <w:r>
        <w:rPr>
          <w:rFonts w:hint="eastAsia"/>
        </w:rPr>
        <w:t>病毒学指标</w:t>
      </w:r>
    </w:p>
    <w:p w:rsidR="00110865" w:rsidRDefault="00943B26">
      <w:pPr>
        <w:pStyle w:val="afffffd"/>
        <w:ind w:firstLine="420"/>
      </w:pPr>
      <w:r>
        <w:rPr>
          <w:rFonts w:hint="eastAsia"/>
        </w:rPr>
        <w:t>经过规范有效的抗病毒治疗24周以上，应使HIV病毒载量降至检测下限以下（通常＜50拷贝/mL），即实现病毒学抑制。达到病毒学抑制后，宜每6～12个月检测1次病毒载量以进行长期监测。若出现治疗失败或病毒学反弹，应增加病毒载量检测频率，并根据结果及时调整治疗方案。</w:t>
      </w:r>
    </w:p>
    <w:p w:rsidR="00110865" w:rsidRDefault="00943B26">
      <w:pPr>
        <w:pStyle w:val="afff"/>
        <w:spacing w:before="120" w:after="120"/>
      </w:pPr>
      <w:r>
        <w:rPr>
          <w:rFonts w:hint="eastAsia"/>
        </w:rPr>
        <w:t>免疫学指标</w:t>
      </w:r>
    </w:p>
    <w:p w:rsidR="00110865" w:rsidRDefault="00943B26">
      <w:pPr>
        <w:pStyle w:val="afffffffffb"/>
      </w:pPr>
      <w:r>
        <w:rPr>
          <w:rFonts w:hint="eastAsia"/>
        </w:rPr>
        <w:t>主要包括CD4</w:t>
      </w:r>
      <w:r>
        <w:rPr>
          <w:rFonts w:hint="eastAsia"/>
          <w:vertAlign w:val="superscript"/>
        </w:rPr>
        <w:t>+</w:t>
      </w:r>
      <w:r>
        <w:rPr>
          <w:rFonts w:hint="eastAsia"/>
        </w:rPr>
        <w:t>T淋巴细胞计数和百分比两类：</w:t>
      </w:r>
    </w:p>
    <w:p w:rsidR="00110865" w:rsidRDefault="00943B26">
      <w:pPr>
        <w:pStyle w:val="af2"/>
      </w:pPr>
      <w:r>
        <w:rPr>
          <w:rFonts w:hint="eastAsia"/>
        </w:rPr>
        <w:t>CD4</w:t>
      </w:r>
      <w:r>
        <w:rPr>
          <w:rFonts w:hint="eastAsia"/>
          <w:vertAlign w:val="superscript"/>
        </w:rPr>
        <w:t>+</w:t>
      </w:r>
      <w:r>
        <w:rPr>
          <w:rFonts w:hint="eastAsia"/>
        </w:rPr>
        <w:t>T淋巴细胞计数：5岁以上儿童；</w:t>
      </w:r>
    </w:p>
    <w:p w:rsidR="00110865" w:rsidRDefault="00943B26">
      <w:pPr>
        <w:pStyle w:val="af2"/>
      </w:pPr>
      <w:r>
        <w:rPr>
          <w:rFonts w:hint="eastAsia"/>
        </w:rPr>
        <w:t>CD4</w:t>
      </w:r>
      <w:bookmarkStart w:id="99" w:name="OLE_LINK8"/>
      <w:r>
        <w:rPr>
          <w:rFonts w:hint="eastAsia"/>
          <w:vertAlign w:val="superscript"/>
        </w:rPr>
        <w:t>+</w:t>
      </w:r>
      <w:bookmarkEnd w:id="99"/>
      <w:r>
        <w:rPr>
          <w:rFonts w:hint="eastAsia"/>
        </w:rPr>
        <w:t>T淋巴细胞百分比：5岁及以下儿童</w:t>
      </w:r>
      <w:r w:rsidR="00B96CA5">
        <w:rPr>
          <w:rFonts w:hint="eastAsia"/>
        </w:rPr>
        <w:t>；</w:t>
      </w:r>
    </w:p>
    <w:p w:rsidR="00110865" w:rsidRDefault="00943B26" w:rsidP="00B96CA5">
      <w:pPr>
        <w:pStyle w:val="af2"/>
      </w:pPr>
      <w:r>
        <w:rPr>
          <w:rFonts w:hint="eastAsia"/>
        </w:rPr>
        <w:t>启动ART后1年，若CD4</w:t>
      </w:r>
      <w:r>
        <w:rPr>
          <w:rFonts w:hint="eastAsia"/>
          <w:vertAlign w:val="superscript"/>
        </w:rPr>
        <w:t>+</w:t>
      </w:r>
      <w:r>
        <w:rPr>
          <w:rFonts w:hint="eastAsia"/>
        </w:rPr>
        <w:t>T淋巴细胞计数较治疗前增加≥30%或绝对数增长≥100个/μL，通常提示治疗有效。</w:t>
      </w:r>
    </w:p>
    <w:p w:rsidR="00110865" w:rsidRDefault="00943B26">
      <w:pPr>
        <w:pStyle w:val="afffffffffb"/>
      </w:pPr>
      <w:r>
        <w:rPr>
          <w:rFonts w:hint="eastAsia"/>
        </w:rPr>
        <w:t>随着治疗持续，CD4</w:t>
      </w:r>
      <w:r>
        <w:rPr>
          <w:vertAlign w:val="superscript"/>
        </w:rPr>
        <w:t>+</w:t>
      </w:r>
      <w:r>
        <w:rPr>
          <w:rFonts w:hint="eastAsia"/>
        </w:rPr>
        <w:t>T淋巴细胞占CD45</w:t>
      </w:r>
      <w:r>
        <w:rPr>
          <w:vertAlign w:val="superscript"/>
        </w:rPr>
        <w:t>+</w:t>
      </w:r>
      <w:r>
        <w:rPr>
          <w:rFonts w:hint="eastAsia"/>
        </w:rPr>
        <w:t>淋巴细胞的百分比、以及CD4</w:t>
      </w:r>
      <w:r>
        <w:rPr>
          <w:vertAlign w:val="superscript"/>
        </w:rPr>
        <w:t>+</w:t>
      </w:r>
      <w:r>
        <w:rPr>
          <w:rFonts w:hint="eastAsia"/>
        </w:rPr>
        <w:t>/CD8</w:t>
      </w:r>
      <w:r>
        <w:rPr>
          <w:vertAlign w:val="superscript"/>
        </w:rPr>
        <w:t>+</w:t>
      </w:r>
      <w:r>
        <w:rPr>
          <w:rFonts w:hint="eastAsia"/>
        </w:rPr>
        <w:t>T淋巴细胞比值，也可能出现不同程度的恢复或提升，可作为评估免疫重建的辅助参考。</w:t>
      </w:r>
    </w:p>
    <w:p w:rsidR="00110865" w:rsidRDefault="00943B26">
      <w:pPr>
        <w:pStyle w:val="afff"/>
        <w:spacing w:before="120" w:after="120"/>
      </w:pPr>
      <w:r>
        <w:rPr>
          <w:rFonts w:hint="eastAsia"/>
        </w:rPr>
        <w:t>临床监测</w:t>
      </w:r>
    </w:p>
    <w:p w:rsidR="00110865" w:rsidRDefault="00943B26">
      <w:pPr>
        <w:pStyle w:val="afffffffffb"/>
      </w:pPr>
      <w:r>
        <w:rPr>
          <w:rFonts w:hint="eastAsia"/>
        </w:rPr>
        <w:t>启动抗逆转录病毒治疗后，医师应密切监测临床事件、机会性感染及免疫重建炎症综合征的发生，并及时予以干预。</w:t>
      </w:r>
    </w:p>
    <w:p w:rsidR="00110865" w:rsidRDefault="00943B26">
      <w:pPr>
        <w:pStyle w:val="afffffffffb"/>
      </w:pPr>
      <w:r>
        <w:rPr>
          <w:rFonts w:hint="eastAsia"/>
        </w:rPr>
        <w:t>应定期测量身高、体重、头围等生长发育指标，系统评估营养状况。</w:t>
      </w:r>
    </w:p>
    <w:p w:rsidR="00110865" w:rsidRDefault="00943B26">
      <w:pPr>
        <w:pStyle w:val="afff"/>
        <w:spacing w:before="120" w:after="120"/>
      </w:pPr>
      <w:r>
        <w:rPr>
          <w:rFonts w:hint="eastAsia"/>
        </w:rPr>
        <w:t>抗病毒治疗失败判定</w:t>
      </w:r>
    </w:p>
    <w:p w:rsidR="00110865" w:rsidRDefault="00943B26">
      <w:pPr>
        <w:pStyle w:val="afffffffffb"/>
      </w:pPr>
      <w:r>
        <w:rPr>
          <w:rFonts w:hint="eastAsia"/>
        </w:rPr>
        <w:t>可从病毒学、免疫学及临床三个方面进行判断，宜采用病毒学指标（病毒载量）作为判断依据。</w:t>
      </w:r>
    </w:p>
    <w:p w:rsidR="00110865" w:rsidRDefault="00943B26">
      <w:pPr>
        <w:pStyle w:val="afffffffffb"/>
      </w:pPr>
      <w:r>
        <w:rPr>
          <w:rFonts w:hint="eastAsia"/>
        </w:rPr>
        <w:t>病毒学失败的判断依据：在规范接受抗病毒治疗24周后，连续两次血浆HIV RNA水平≥200拷贝/ml。</w:t>
      </w:r>
      <w:r>
        <w:t xml:space="preserve"> </w:t>
      </w:r>
    </w:p>
    <w:p w:rsidR="00110865" w:rsidRDefault="00943B26">
      <w:pPr>
        <w:pStyle w:val="afff"/>
        <w:spacing w:before="120" w:after="120"/>
      </w:pPr>
      <w:r>
        <w:rPr>
          <w:rFonts w:hint="eastAsia"/>
        </w:rPr>
        <w:t>抗病毒治疗失败后的处理流程</w:t>
      </w:r>
    </w:p>
    <w:p w:rsidR="00110865" w:rsidRDefault="00943B26">
      <w:pPr>
        <w:pStyle w:val="afff0"/>
        <w:spacing w:before="120" w:after="120"/>
      </w:pPr>
      <w:r>
        <w:rPr>
          <w:rFonts w:hint="eastAsia"/>
        </w:rPr>
        <w:t>全面评估与依从性核查</w:t>
      </w:r>
    </w:p>
    <w:p w:rsidR="00110865" w:rsidRDefault="00943B26">
      <w:pPr>
        <w:pStyle w:val="afffffd"/>
        <w:ind w:firstLine="420"/>
      </w:pPr>
      <w:r>
        <w:rPr>
          <w:rFonts w:hint="eastAsia"/>
        </w:rPr>
        <w:t>在判断抗病毒治疗失败前，应首先全面评估可能影响治疗效果的因素，包括儿童服药的依从性（有无漏服、中断或不规律服药）、服药方法的规范性（剂量、时间、方法是否正确）、药品存储条件及药品是否在有效期内，以及是否合并使用可能影响抗病毒药物血药浓度的其他药物。根据评估结果，及时启动或加强依从性教育、服药技能训练、家庭指导及心理支持，必要时增加随访频次。</w:t>
      </w:r>
    </w:p>
    <w:p w:rsidR="00110865" w:rsidRDefault="00943B26">
      <w:pPr>
        <w:pStyle w:val="afff0"/>
        <w:spacing w:before="120" w:after="120"/>
      </w:pPr>
      <w:r>
        <w:rPr>
          <w:rFonts w:hint="eastAsia"/>
        </w:rPr>
        <w:t>耐药检测与抗病毒治疗失败确认</w:t>
      </w:r>
    </w:p>
    <w:p w:rsidR="00110865" w:rsidRDefault="00943B26">
      <w:pPr>
        <w:pStyle w:val="afffffd"/>
        <w:ind w:firstLine="420"/>
      </w:pPr>
      <w:proofErr w:type="gramStart"/>
      <w:r>
        <w:rPr>
          <w:rFonts w:hint="eastAsia"/>
        </w:rPr>
        <w:t>若儿童</w:t>
      </w:r>
      <w:proofErr w:type="gramEnd"/>
      <w:r>
        <w:rPr>
          <w:rFonts w:hint="eastAsia"/>
        </w:rPr>
        <w:t>仍在使用原方案治疗或停药时间在4周以内，应尽快进行基因型耐药检测，明确耐药突变位点及模式。确认病毒学治疗失败时，</w:t>
      </w:r>
      <w:bookmarkStart w:id="100" w:name="OLE_LINK9"/>
      <w:r>
        <w:rPr>
          <w:rFonts w:hint="eastAsia"/>
        </w:rPr>
        <w:t>应</w:t>
      </w:r>
      <w:bookmarkEnd w:id="100"/>
      <w:r>
        <w:rPr>
          <w:rFonts w:hint="eastAsia"/>
        </w:rPr>
        <w:t>结合病毒载量变化趋势、免疫学指标及临床症状进行综合判断。</w:t>
      </w:r>
    </w:p>
    <w:p w:rsidR="00110865" w:rsidRDefault="00943B26">
      <w:pPr>
        <w:pStyle w:val="afff0"/>
        <w:spacing w:before="120" w:after="120"/>
      </w:pPr>
      <w:r>
        <w:rPr>
          <w:rFonts w:hint="eastAsia"/>
        </w:rPr>
        <w:t>调整治疗方案</w:t>
      </w:r>
    </w:p>
    <w:p w:rsidR="00110865" w:rsidRDefault="00943B26">
      <w:pPr>
        <w:pStyle w:val="afffffd"/>
        <w:ind w:firstLine="420"/>
      </w:pPr>
      <w:r>
        <w:rPr>
          <w:rFonts w:hint="eastAsia"/>
        </w:rPr>
        <w:t>经综合评估确需更换治疗方案时，应依据耐药检测结果及当前病毒载量水平，同时考虑药物可及性、疗效、儿童耐受性及潜在药物相互作用等。新方案中应至少包含2种完全敏感的活性药物，宜选用不同</w:t>
      </w:r>
      <w:r>
        <w:rPr>
          <w:rFonts w:hint="eastAsia"/>
        </w:rPr>
        <w:lastRenderedPageBreak/>
        <w:t>作用机制、具有高耐药屏障的药物组合（如增强型蛋白酶抑制剂或整合酶抑制</w:t>
      </w:r>
      <w:proofErr w:type="gramStart"/>
      <w:r>
        <w:rPr>
          <w:rFonts w:hint="eastAsia"/>
        </w:rPr>
        <w:t>剂联合</w:t>
      </w:r>
      <w:proofErr w:type="gramEnd"/>
      <w:r>
        <w:rPr>
          <w:rFonts w:hint="eastAsia"/>
        </w:rPr>
        <w:t>使用）。具体调整方案详见附录E。</w:t>
      </w:r>
    </w:p>
    <w:p w:rsidR="00110865" w:rsidRDefault="00943B26">
      <w:pPr>
        <w:pStyle w:val="afff0"/>
        <w:spacing w:before="120" w:after="120"/>
      </w:pPr>
      <w:r>
        <w:rPr>
          <w:rFonts w:hint="eastAsia"/>
        </w:rPr>
        <w:t>调整治疗方案后的监测与综合支持</w:t>
      </w:r>
    </w:p>
    <w:p w:rsidR="00110865" w:rsidRDefault="00943B26">
      <w:pPr>
        <w:pStyle w:val="afffffd"/>
        <w:ind w:firstLine="420"/>
      </w:pPr>
      <w:r>
        <w:rPr>
          <w:rFonts w:hint="eastAsia"/>
        </w:rPr>
        <w:t>换药后的前3个月，应密切监测血常规、肝功能、肾功能等指标，及时发现并处理可能出现的不良反应；换药后3个月时，应复查病毒载量和CD4</w:t>
      </w:r>
      <w:r>
        <w:rPr>
          <w:rFonts w:hint="eastAsia"/>
          <w:vertAlign w:val="superscript"/>
        </w:rPr>
        <w:t>+</w:t>
      </w:r>
      <w:r>
        <w:rPr>
          <w:rFonts w:hint="eastAsia"/>
        </w:rPr>
        <w:t>T淋巴细胞计数，评估新方案的治疗效果。将治疗方案调整作为家庭支持的契机，持续为儿童及其家庭提供包括营养指导、心理支持和依从性强化在内的多维</w:t>
      </w:r>
      <w:proofErr w:type="gramStart"/>
      <w:r>
        <w:rPr>
          <w:rFonts w:hint="eastAsia"/>
        </w:rPr>
        <w:t>度综合</w:t>
      </w:r>
      <w:proofErr w:type="gramEnd"/>
      <w:r>
        <w:rPr>
          <w:rFonts w:hint="eastAsia"/>
        </w:rPr>
        <w:t>干预。</w:t>
      </w:r>
    </w:p>
    <w:p w:rsidR="00110865" w:rsidRDefault="00943B26">
      <w:pPr>
        <w:pStyle w:val="affe"/>
        <w:spacing w:before="120" w:after="120"/>
      </w:pPr>
      <w:bookmarkStart w:id="101" w:name="OLE_LINK10"/>
      <w:r>
        <w:rPr>
          <w:rFonts w:hint="eastAsia"/>
        </w:rPr>
        <w:t>病毒耐药性监测</w:t>
      </w:r>
    </w:p>
    <w:p w:rsidR="00110865" w:rsidRDefault="00943B26">
      <w:pPr>
        <w:pStyle w:val="afffffd"/>
        <w:ind w:firstLine="420"/>
      </w:pPr>
      <w:r>
        <w:rPr>
          <w:rFonts w:hint="eastAsia"/>
        </w:rPr>
        <w:t>当HIV感染者出现抗病毒治疗失败时，专科医师应首先系统排查原因，如依从性、药物不良反应、药物相互作用、吸收不良、IRIS、原发性耐药等。在儿童仍服药或停药4周内及时进行HIV基因型耐药检测，并根据检测结果、结合完整治疗</w:t>
      </w:r>
      <w:proofErr w:type="gramStart"/>
      <w:r>
        <w:rPr>
          <w:rFonts w:hint="eastAsia"/>
        </w:rPr>
        <w:t>史制定</w:t>
      </w:r>
      <w:proofErr w:type="gramEnd"/>
      <w:r>
        <w:rPr>
          <w:rFonts w:hint="eastAsia"/>
        </w:rPr>
        <w:t>个体化新方案。</w:t>
      </w:r>
      <w:bookmarkEnd w:id="101"/>
    </w:p>
    <w:p w:rsidR="00110865" w:rsidRDefault="00943B26">
      <w:pPr>
        <w:pStyle w:val="affe"/>
        <w:spacing w:before="120" w:after="120"/>
      </w:pPr>
      <w:r>
        <w:rPr>
          <w:rFonts w:hint="eastAsia"/>
        </w:rPr>
        <w:t>药物不良反应监测</w:t>
      </w:r>
    </w:p>
    <w:p w:rsidR="00110865" w:rsidRDefault="00943B26">
      <w:pPr>
        <w:pStyle w:val="afffffffff8"/>
      </w:pPr>
      <w:r>
        <w:rPr>
          <w:rFonts w:hint="eastAsia"/>
        </w:rPr>
        <w:t>在治疗随访期间，应密切监测药物的不良反应，及时调整治疗方案或采取相应处理，以避免影响依从性和导致治疗失败。对于未出现耐药者，可对症处理或更换药物；若已发生耐药，则应依据耐药检测结果优化治疗方案。</w:t>
      </w:r>
    </w:p>
    <w:p w:rsidR="00110865" w:rsidRDefault="00943B26">
      <w:pPr>
        <w:pStyle w:val="afffffffff8"/>
      </w:pPr>
      <w:r>
        <w:rPr>
          <w:rFonts w:hint="eastAsia"/>
        </w:rPr>
        <w:t>应重视抗病毒药物的短期与长期不良反应，应通过定期监测、早期识别和适时干预，可有效控制不良反应风险，保障治疗安全，最终提升患者生活质量与整体治疗效果。</w:t>
      </w:r>
    </w:p>
    <w:p w:rsidR="00110865" w:rsidRDefault="00943B26">
      <w:pPr>
        <w:pStyle w:val="affe"/>
        <w:spacing w:before="120" w:after="120"/>
      </w:pPr>
      <w:r>
        <w:rPr>
          <w:rFonts w:hint="eastAsia"/>
        </w:rPr>
        <w:t>服药依从性</w:t>
      </w:r>
    </w:p>
    <w:p w:rsidR="00110865" w:rsidRDefault="00943B26">
      <w:pPr>
        <w:pStyle w:val="afffffd"/>
        <w:ind w:firstLine="420"/>
      </w:pPr>
      <w:r>
        <w:rPr>
          <w:rFonts w:hint="eastAsia"/>
        </w:rPr>
        <w:t>应建立个案系统评估依从性差的风险与根源，进而采取优化服药方案、强化家庭支持等综合干预措施，并依靠密切的随访跟踪来巩固效果、动态调整，形成持续改进的闭环管理。</w:t>
      </w:r>
    </w:p>
    <w:p w:rsidR="00110865" w:rsidRPr="005878C7" w:rsidRDefault="00943B26">
      <w:pPr>
        <w:pStyle w:val="affe"/>
        <w:spacing w:before="120" w:after="120"/>
      </w:pPr>
      <w:r w:rsidRPr="005878C7">
        <w:rPr>
          <w:rFonts w:hint="eastAsia"/>
        </w:rPr>
        <w:t>HIV感染儿童告知</w:t>
      </w:r>
    </w:p>
    <w:p w:rsidR="005878C7" w:rsidRDefault="00943B26" w:rsidP="005878C7">
      <w:pPr>
        <w:pStyle w:val="afffffffff8"/>
      </w:pPr>
      <w:r>
        <w:rPr>
          <w:rFonts w:hint="eastAsia"/>
        </w:rPr>
        <w:t>向HIV感染儿童告知病情，应在儿童和家庭咨询中建立真诚、信任、积极的沟通关系。</w:t>
      </w:r>
    </w:p>
    <w:p w:rsidR="005878C7" w:rsidRDefault="00943B26" w:rsidP="005878C7">
      <w:pPr>
        <w:pStyle w:val="afffffffff8"/>
      </w:pPr>
      <w:r>
        <w:rPr>
          <w:rFonts w:hint="eastAsia"/>
        </w:rPr>
        <w:t>告知计划</w:t>
      </w:r>
      <w:r w:rsidR="005878C7">
        <w:rPr>
          <w:rFonts w:hint="eastAsia"/>
        </w:rPr>
        <w:t>应</w:t>
      </w:r>
      <w:r>
        <w:rPr>
          <w:rFonts w:hint="eastAsia"/>
        </w:rPr>
        <w:t>结合患儿年龄、认知水平及家庭具体情况等，与其监护人共同商讨制定，</w:t>
      </w:r>
      <w:r w:rsidR="005878C7">
        <w:rPr>
          <w:rFonts w:hint="eastAsia"/>
        </w:rPr>
        <w:t>告知计划应</w:t>
      </w:r>
      <w:r>
        <w:rPr>
          <w:rFonts w:hint="eastAsia"/>
        </w:rPr>
        <w:t>个体化、分阶段实施。</w:t>
      </w:r>
    </w:p>
    <w:p w:rsidR="005878C7" w:rsidRDefault="005878C7" w:rsidP="005878C7">
      <w:pPr>
        <w:pStyle w:val="afffffffff8"/>
      </w:pPr>
      <w:r>
        <w:rPr>
          <w:rFonts w:hint="eastAsia"/>
        </w:rPr>
        <w:t>宜</w:t>
      </w:r>
      <w:r w:rsidR="00943B26">
        <w:rPr>
          <w:rFonts w:hint="eastAsia"/>
        </w:rPr>
        <w:t>在专业团队（如医生、心理咨询师、社工等）的指导下，由患儿最信任、关系最稳定的监护人（通常是父母）主导告知，并依据孩子的年龄、认知水平及心理成熟程度，在安全、私密的环境中有计划地逐步进行。</w:t>
      </w:r>
    </w:p>
    <w:p w:rsidR="00110865" w:rsidRDefault="005878C7" w:rsidP="005878C7">
      <w:pPr>
        <w:pStyle w:val="afffffffff8"/>
      </w:pPr>
      <w:r>
        <w:rPr>
          <w:rFonts w:hint="eastAsia"/>
        </w:rPr>
        <w:t>应</w:t>
      </w:r>
      <w:r w:rsidR="00943B26">
        <w:rPr>
          <w:rFonts w:hint="eastAsia"/>
        </w:rPr>
        <w:t>在幼年阶段铺垫健康与疾病的基本概念；进入学龄期（6～10岁）后，借助“免疫系统战士”“体内小病毒”等比喻初步解释；待孩子理解能力进一步提升（10～12岁），再选择适宜时机正式引入“HIV”名称及相关知识。告知过程中</w:t>
      </w:r>
      <w:r>
        <w:rPr>
          <w:rFonts w:hint="eastAsia"/>
        </w:rPr>
        <w:t>应</w:t>
      </w:r>
      <w:r w:rsidR="00943B26">
        <w:rPr>
          <w:rFonts w:hint="eastAsia"/>
        </w:rPr>
        <w:t>传达的信息宜用孩子能理解的方式表达。</w:t>
      </w:r>
    </w:p>
    <w:p w:rsidR="00110865" w:rsidRDefault="00943B26" w:rsidP="005878C7">
      <w:pPr>
        <w:pStyle w:val="afffffffff8"/>
      </w:pPr>
      <w:r>
        <w:rPr>
          <w:rFonts w:hint="eastAsia"/>
        </w:rPr>
        <w:t>告知后应积极跟进患儿及其家庭随访，保持开放、持续的对话，耐心倾听孩子的感受与疑问，并提供适时、恰当的心理支持与同伴支持机会。</w:t>
      </w:r>
    </w:p>
    <w:p w:rsidR="00110865" w:rsidRDefault="00943B26">
      <w:pPr>
        <w:pStyle w:val="affe"/>
        <w:spacing w:before="120" w:after="120"/>
      </w:pPr>
      <w:r>
        <w:rPr>
          <w:rFonts w:hint="eastAsia"/>
        </w:rPr>
        <w:t>性健康教育</w:t>
      </w:r>
    </w:p>
    <w:p w:rsidR="00110865" w:rsidRDefault="00943B26">
      <w:pPr>
        <w:pStyle w:val="afffffffff8"/>
      </w:pPr>
      <w:r>
        <w:rPr>
          <w:rFonts w:hint="eastAsia"/>
        </w:rPr>
        <w:t>儿童的性健康教育应以专业医疗指导为基础，构建“家庭-学校-专业机构（如疾控中心、医院、社会组织等）”协同支持体系，在充分尊重儿童权利、保护隐私、消除歧视的基础上，结合其身心发展阶段特点进行系统化、个性化教育。</w:t>
      </w:r>
    </w:p>
    <w:p w:rsidR="00110865" w:rsidRDefault="00943B26">
      <w:pPr>
        <w:pStyle w:val="afffffffff8"/>
      </w:pPr>
      <w:r>
        <w:rPr>
          <w:rFonts w:hint="eastAsia"/>
        </w:rPr>
        <w:t>教育内容应包括：</w:t>
      </w:r>
    </w:p>
    <w:p w:rsidR="00110865" w:rsidRDefault="00943B26">
      <w:pPr>
        <w:pStyle w:val="af2"/>
      </w:pPr>
      <w:r>
        <w:rPr>
          <w:rFonts w:hint="eastAsia"/>
        </w:rPr>
        <w:t>科学认识青春期生理与心理变化；</w:t>
      </w:r>
    </w:p>
    <w:p w:rsidR="00110865" w:rsidRDefault="00943B26">
      <w:pPr>
        <w:pStyle w:val="af2"/>
      </w:pPr>
      <w:r>
        <w:rPr>
          <w:rFonts w:hint="eastAsia"/>
        </w:rPr>
        <w:t>正确理解艾滋病作为可防可控的慢性病的特性，明确其传播途径，强调持续治疗直至病毒载量检测不到是阻断传播的根本前提；</w:t>
      </w:r>
    </w:p>
    <w:p w:rsidR="00110865" w:rsidRDefault="00943B26">
      <w:pPr>
        <w:pStyle w:val="af2"/>
      </w:pPr>
      <w:r>
        <w:rPr>
          <w:rFonts w:hint="eastAsia"/>
        </w:rPr>
        <w:t>掌握以持续治疗为核心、正确使用安全套为重要补充的双重保护方法；</w:t>
      </w:r>
    </w:p>
    <w:p w:rsidR="00110865" w:rsidRDefault="00943B26">
      <w:pPr>
        <w:pStyle w:val="af2"/>
      </w:pPr>
      <w:r>
        <w:rPr>
          <w:rFonts w:hint="eastAsia"/>
        </w:rPr>
        <w:t>学习建立尊重、平等的健康人际关系；</w:t>
      </w:r>
    </w:p>
    <w:p w:rsidR="00110865" w:rsidRDefault="00943B26">
      <w:pPr>
        <w:pStyle w:val="af2"/>
      </w:pPr>
      <w:r>
        <w:rPr>
          <w:rFonts w:hint="eastAsia"/>
        </w:rPr>
        <w:t>了解自身相关的隐私权、法律权益及可获取的社会支持资源等。</w:t>
      </w:r>
    </w:p>
    <w:p w:rsidR="00110865" w:rsidRDefault="00943B26">
      <w:pPr>
        <w:pStyle w:val="afffffffff8"/>
      </w:pPr>
      <w:r>
        <w:rPr>
          <w:rFonts w:hint="eastAsia"/>
        </w:rPr>
        <w:lastRenderedPageBreak/>
        <w:t>教育过程应以保障治疗依从性为首要目标，同时注重消除污名与歧视，培养积极、负责任的生活态度。宣传形式应灵活多样，如专题讲座、卫生专栏、画册、板报等。</w:t>
      </w:r>
    </w:p>
    <w:p w:rsidR="00110865" w:rsidRDefault="00943B26">
      <w:pPr>
        <w:pStyle w:val="affe"/>
        <w:spacing w:before="120" w:after="120"/>
      </w:pPr>
      <w:r>
        <w:rPr>
          <w:rFonts w:hint="eastAsia"/>
        </w:rPr>
        <w:t>疫苗接种</w:t>
      </w:r>
    </w:p>
    <w:p w:rsidR="00110865" w:rsidRDefault="00943B26">
      <w:pPr>
        <w:pStyle w:val="afffffffff8"/>
      </w:pPr>
      <w:r>
        <w:rPr>
          <w:rFonts w:hint="eastAsia"/>
        </w:rPr>
        <w:t>宜由儿科医生、感染科医生或</w:t>
      </w:r>
      <w:proofErr w:type="gramStart"/>
      <w:r>
        <w:rPr>
          <w:rFonts w:hint="eastAsia"/>
        </w:rPr>
        <w:t>疾控专家</w:t>
      </w:r>
      <w:proofErr w:type="gramEnd"/>
      <w:r>
        <w:rPr>
          <w:rFonts w:hint="eastAsia"/>
        </w:rPr>
        <w:t>进行综合评估，依据其临床分期、CD4细胞水平及抗逆转录病毒治疗效果，共同制定个体化的疫苗接种方案。</w:t>
      </w:r>
      <w:bookmarkStart w:id="102" w:name="_Hlk224919949"/>
      <w:r>
        <w:rPr>
          <w:rFonts w:hint="eastAsia"/>
        </w:rPr>
        <w:t>家长应与医疗团队保持密切沟通</w:t>
      </w:r>
      <w:bookmarkEnd w:id="102"/>
      <w:r>
        <w:rPr>
          <w:rFonts w:hint="eastAsia"/>
        </w:rPr>
        <w:t>。</w:t>
      </w:r>
    </w:p>
    <w:p w:rsidR="00110865" w:rsidRDefault="00943B26">
      <w:pPr>
        <w:pStyle w:val="afffffffff8"/>
      </w:pPr>
      <w:r w:rsidRPr="005878C7">
        <w:rPr>
          <w:rFonts w:hint="eastAsia"/>
        </w:rPr>
        <w:t>HIV感染儿童应</w:t>
      </w:r>
      <w:r>
        <w:rPr>
          <w:rFonts w:hint="eastAsia"/>
        </w:rPr>
        <w:t>尽早接种疫苗建立基础免疫保护，免疫规划疫苗接种原则如下：</w:t>
      </w:r>
    </w:p>
    <w:p w:rsidR="00110865" w:rsidRDefault="00943B26">
      <w:pPr>
        <w:pStyle w:val="af2"/>
      </w:pPr>
      <w:r>
        <w:rPr>
          <w:rFonts w:hint="eastAsia"/>
        </w:rPr>
        <w:t>卡介苗：HIV感染母亲所生儿童，在出生后应暂缓接种卡介苗，</w:t>
      </w:r>
      <w:proofErr w:type="gramStart"/>
      <w:r>
        <w:rPr>
          <w:rFonts w:hint="eastAsia"/>
        </w:rPr>
        <w:t>若儿童明确未</w:t>
      </w:r>
      <w:proofErr w:type="gramEnd"/>
      <w:r>
        <w:rPr>
          <w:rFonts w:hint="eastAsia"/>
        </w:rPr>
        <w:t>感染HIV，应及时予以补种；若确认儿童感染HIV，则不予接种；</w:t>
      </w:r>
    </w:p>
    <w:p w:rsidR="00110865" w:rsidRDefault="00943B26">
      <w:pPr>
        <w:pStyle w:val="af2"/>
      </w:pPr>
      <w:r>
        <w:rPr>
          <w:rFonts w:hint="eastAsia"/>
        </w:rPr>
        <w:t>含麻疹成分疫苗：HIV感染母亲所生儿童，若存在艾滋病相关临床症状或免疫抑制情况，则不予接种含麻疹成分疫苗；如未出现艾滋病相关症状或免疫抑制时，可在医生评估后接种含麻疹成分疫苗；</w:t>
      </w:r>
    </w:p>
    <w:p w:rsidR="00110865" w:rsidRDefault="00943B26">
      <w:pPr>
        <w:pStyle w:val="af2"/>
      </w:pPr>
      <w:r>
        <w:rPr>
          <w:rFonts w:hint="eastAsia"/>
        </w:rPr>
        <w:t>其他减毒活疫苗：HIV感染母亲所生儿童如未明确排除HIV感染，应避免接种乙脑减毒活疫苗、甲肝减毒活疫苗和</w:t>
      </w:r>
      <w:proofErr w:type="gramStart"/>
      <w:r>
        <w:rPr>
          <w:rFonts w:hint="eastAsia"/>
        </w:rPr>
        <w:t>脊灰</w:t>
      </w:r>
      <w:proofErr w:type="gramEnd"/>
      <w:r>
        <w:rPr>
          <w:rFonts w:hint="eastAsia"/>
        </w:rPr>
        <w:t>减毒活疫苗；可选择接种相应的灭活疫苗，如乙脑灭活疫苗、甲肝灭活疫苗和</w:t>
      </w:r>
      <w:proofErr w:type="gramStart"/>
      <w:r>
        <w:rPr>
          <w:rFonts w:hint="eastAsia"/>
        </w:rPr>
        <w:t>脊灰</w:t>
      </w:r>
      <w:proofErr w:type="gramEnd"/>
      <w:r>
        <w:rPr>
          <w:rFonts w:hint="eastAsia"/>
        </w:rPr>
        <w:t>灭活疫苗；</w:t>
      </w:r>
    </w:p>
    <w:p w:rsidR="00110865" w:rsidRDefault="00943B26">
      <w:pPr>
        <w:pStyle w:val="af2"/>
      </w:pPr>
      <w:r>
        <w:rPr>
          <w:rFonts w:hint="eastAsia"/>
        </w:rPr>
        <w:t>其他免疫规划疫苗：HIV感染母亲所生儿童可按免疫规划疫苗程序接种乙肝疫苗、百白破疫苗、A群流脑多糖疫苗、A群C群流脑多糖疫苗等。</w:t>
      </w:r>
    </w:p>
    <w:p w:rsidR="00110865" w:rsidRDefault="00943B26">
      <w:pPr>
        <w:pStyle w:val="afffffffff8"/>
      </w:pPr>
      <w:r>
        <w:rPr>
          <w:rFonts w:hint="eastAsia"/>
        </w:rPr>
        <w:t>对于符合特定免疫功能条件的HIV感染儿童，可考虑接种部分减毒活疫苗。减毒活疫苗接种条件如下：</w:t>
      </w:r>
    </w:p>
    <w:p w:rsidR="00110865" w:rsidRDefault="00943B26">
      <w:pPr>
        <w:pStyle w:val="af2"/>
      </w:pPr>
      <w:r>
        <w:rPr>
          <w:rFonts w:hint="eastAsia"/>
        </w:rPr>
        <w:t>接种条件：CD4</w:t>
      </w:r>
      <w:bookmarkStart w:id="103" w:name="OLE_LINK11"/>
      <w:r>
        <w:rPr>
          <w:rFonts w:hint="eastAsia"/>
          <w:vertAlign w:val="superscript"/>
        </w:rPr>
        <w:t>+</w:t>
      </w:r>
      <w:bookmarkEnd w:id="103"/>
      <w:r>
        <w:rPr>
          <w:rFonts w:hint="eastAsia"/>
        </w:rPr>
        <w:t>T淋巴细胞比例≥15％(年龄≤5岁)或CD4</w:t>
      </w:r>
      <w:r>
        <w:rPr>
          <w:rFonts w:hint="eastAsia"/>
          <w:vertAlign w:val="superscript"/>
        </w:rPr>
        <w:t>+</w:t>
      </w:r>
      <w:r>
        <w:rPr>
          <w:rFonts w:hint="eastAsia"/>
        </w:rPr>
        <w:t>T淋巴细胞计数≥200个/mm³(年龄＞5岁)的HIV感染儿童可接种某些活疫苗，如麻疹、腮腺炎、风疹(MMR)三联疫苗、水痘疫苗、黄热病疫苗等。</w:t>
      </w:r>
    </w:p>
    <w:p w:rsidR="00110865" w:rsidRDefault="00943B26">
      <w:pPr>
        <w:pStyle w:val="af2"/>
      </w:pPr>
      <w:r>
        <w:rPr>
          <w:rFonts w:hint="eastAsia"/>
        </w:rPr>
        <w:t>暂缓与补种：CD4</w:t>
      </w:r>
      <w:r>
        <w:rPr>
          <w:rFonts w:hint="eastAsia"/>
          <w:vertAlign w:val="superscript"/>
        </w:rPr>
        <w:t>+</w:t>
      </w:r>
      <w:r>
        <w:rPr>
          <w:rFonts w:hint="eastAsia"/>
        </w:rPr>
        <w:t>T淋巴细胞计数低于上述阈值的HIV感染儿童，所有减毒活疫苗都应暂缓接种，待HAART使免疫功能重建（如CD4%持续≥15％）后再予补种。</w:t>
      </w:r>
    </w:p>
    <w:p w:rsidR="00110865" w:rsidRDefault="00943B26">
      <w:pPr>
        <w:pStyle w:val="af2"/>
      </w:pPr>
      <w:r>
        <w:rPr>
          <w:rFonts w:hint="eastAsia"/>
        </w:rPr>
        <w:t>接种后评估：免疫功能重建后，接种计划</w:t>
      </w:r>
      <w:proofErr w:type="gramStart"/>
      <w:r>
        <w:rPr>
          <w:rFonts w:hint="eastAsia"/>
        </w:rPr>
        <w:t>可最大</w:t>
      </w:r>
      <w:proofErr w:type="gramEnd"/>
      <w:r>
        <w:rPr>
          <w:rFonts w:hint="eastAsia"/>
        </w:rPr>
        <w:t>程度接近正常儿童。建议在接种后进行抗体水平检测，以评估是否产生保护性免疫；若应答不足，可考虑追加接种。</w:t>
      </w:r>
    </w:p>
    <w:p w:rsidR="00110865" w:rsidRDefault="00943B26">
      <w:pPr>
        <w:pStyle w:val="afffffffff8"/>
      </w:pPr>
      <w:r>
        <w:rPr>
          <w:rFonts w:hint="eastAsia"/>
        </w:rPr>
        <w:t>HIV感染儿童疫苗接种建议见附录F。</w:t>
      </w:r>
    </w:p>
    <w:p w:rsidR="00110865" w:rsidRDefault="00943B26">
      <w:pPr>
        <w:pStyle w:val="affe"/>
        <w:spacing w:before="120" w:after="120"/>
      </w:pPr>
      <w:r>
        <w:rPr>
          <w:rFonts w:hint="eastAsia"/>
        </w:rPr>
        <w:t>生长发育监测与干预</w:t>
      </w:r>
    </w:p>
    <w:p w:rsidR="00110865" w:rsidRDefault="00943B26">
      <w:pPr>
        <w:pStyle w:val="afffffd"/>
        <w:ind w:firstLine="420"/>
      </w:pPr>
      <w:r>
        <w:rPr>
          <w:rFonts w:hint="eastAsia"/>
        </w:rPr>
        <w:t>依据6.3</w:t>
      </w:r>
      <w:r>
        <w:t>.1</w:t>
      </w:r>
      <w:r>
        <w:rPr>
          <w:rFonts w:hint="eastAsia"/>
        </w:rPr>
        <w:t>的评估内容进行监测。如发现存在营养性疾病或体格生长状况偏离等异常情况，及时建议营养专科介入指导。</w:t>
      </w:r>
    </w:p>
    <w:p w:rsidR="00110865" w:rsidRDefault="00943B26">
      <w:pPr>
        <w:pStyle w:val="affe"/>
        <w:spacing w:before="120" w:after="120"/>
      </w:pPr>
      <w:r>
        <w:rPr>
          <w:rFonts w:hint="eastAsia"/>
        </w:rPr>
        <w:t>神经认知功能监测与干预</w:t>
      </w:r>
    </w:p>
    <w:p w:rsidR="00110865" w:rsidRDefault="00943B26">
      <w:pPr>
        <w:pStyle w:val="afffffd"/>
        <w:ind w:firstLine="420"/>
      </w:pPr>
      <w:r>
        <w:rPr>
          <w:rFonts w:hint="eastAsia"/>
        </w:rPr>
        <w:t>依据6.4的评估内容进行监测。</w:t>
      </w:r>
      <w:proofErr w:type="gramStart"/>
      <w:r>
        <w:rPr>
          <w:rFonts w:hint="eastAsia"/>
        </w:rPr>
        <w:t>按儿童</w:t>
      </w:r>
      <w:proofErr w:type="gramEnd"/>
      <w:r>
        <w:rPr>
          <w:rFonts w:hint="eastAsia"/>
        </w:rPr>
        <w:t>发育行为疾病诊疗及转介转诊规范进行管理：</w:t>
      </w:r>
    </w:p>
    <w:p w:rsidR="00110865" w:rsidRDefault="00943B26">
      <w:pPr>
        <w:pStyle w:val="af2"/>
        <w:jc w:val="both"/>
      </w:pPr>
      <w:r>
        <w:rPr>
          <w:rFonts w:hint="eastAsia"/>
        </w:rPr>
        <w:t>用生长发育监测图、儿童心理行为发育问题预警征象、小儿智能发育筛查量表（DDST）、0～6岁儿童发育筛查量表（DST）等筛查量表进行神经认知发育筛查提示阳性者应转儿童保健/儿童发育行为/儿童康复等专科进行复筛；</w:t>
      </w:r>
    </w:p>
    <w:p w:rsidR="00110865" w:rsidRDefault="00943B26">
      <w:pPr>
        <w:pStyle w:val="af2"/>
        <w:jc w:val="both"/>
      </w:pPr>
      <w:proofErr w:type="gramStart"/>
      <w:r>
        <w:rPr>
          <w:rFonts w:hint="eastAsia"/>
        </w:rPr>
        <w:t>复筛无异常</w:t>
      </w:r>
      <w:proofErr w:type="gramEnd"/>
      <w:r>
        <w:rPr>
          <w:rFonts w:hint="eastAsia"/>
        </w:rPr>
        <w:t>给予家庭早期发展干预方案进行家庭促进，复筛异常者即在专科医院进一步行诊断性评估并制定个体化干预计划（康复治疗/家庭干预/家校协作等）；</w:t>
      </w:r>
    </w:p>
    <w:p w:rsidR="00110865" w:rsidRDefault="00943B26">
      <w:pPr>
        <w:pStyle w:val="af2"/>
        <w:jc w:val="both"/>
      </w:pPr>
      <w:r>
        <w:rPr>
          <w:rFonts w:hint="eastAsia"/>
        </w:rPr>
        <w:t>用0～6岁儿童神经心理行为量表（儿心量表-II）、GESELL发育量表、韦氏儿童智力测评</w:t>
      </w:r>
      <w:proofErr w:type="gramStart"/>
      <w:r>
        <w:rPr>
          <w:rFonts w:hint="eastAsia"/>
        </w:rPr>
        <w:t>等量表</w:t>
      </w:r>
      <w:proofErr w:type="gramEnd"/>
      <w:r>
        <w:rPr>
          <w:rFonts w:hint="eastAsia"/>
        </w:rPr>
        <w:t>进行神经认知发育诊断评估提示阳性者应转儿童保健/儿童发育行为专科/儿童康复等专科进行相关康复综合治疗。</w:t>
      </w:r>
    </w:p>
    <w:p w:rsidR="00110865" w:rsidRDefault="00943B26">
      <w:pPr>
        <w:pStyle w:val="affe"/>
        <w:spacing w:before="120" w:after="120"/>
      </w:pPr>
      <w:r>
        <w:rPr>
          <w:rFonts w:hint="eastAsia"/>
        </w:rPr>
        <w:t>心理健康监测与心理支持</w:t>
      </w:r>
    </w:p>
    <w:p w:rsidR="00110865" w:rsidRDefault="00943B26">
      <w:pPr>
        <w:pStyle w:val="afffffffff8"/>
      </w:pPr>
      <w:r>
        <w:rPr>
          <w:rFonts w:hint="eastAsia"/>
        </w:rPr>
        <w:t>依据6.5的评估内容进行监测。随访时应结合年龄与可实施性开展心理健康筛查，判断是否存在心理/行为问题风险及其对学习生活与治疗依从性的影响；对筛查提示异常者，应进一步评估并给予干预或转介：</w:t>
      </w:r>
    </w:p>
    <w:p w:rsidR="00110865" w:rsidRDefault="00943B26">
      <w:pPr>
        <w:pStyle w:val="af2"/>
      </w:pPr>
      <w:r>
        <w:rPr>
          <w:rFonts w:hint="eastAsia"/>
        </w:rPr>
        <w:t>SDQ判定与处置：以总分进行风险判断，0～13分为正常，14～16分为边缘，17～40分提示异常风险。筛查阳性者应进一步了解功能受损（学习、同伴、家庭关系）、行为问题、睡眠与依从性情况；</w:t>
      </w:r>
    </w:p>
    <w:p w:rsidR="00110865" w:rsidRDefault="00943B26">
      <w:pPr>
        <w:pStyle w:val="af2"/>
      </w:pPr>
      <w:r>
        <w:rPr>
          <w:rFonts w:hint="eastAsia"/>
        </w:rPr>
        <w:lastRenderedPageBreak/>
        <w:t>WHO-5判定与处置：按总分0～25计分，换算为百分制（总分×4）。换算后≤50分提示心理幸福感偏低，应进行进一步评估；≤28分提示心理健康风险较高，建议结合PHQ-9和GAD-7</w:t>
      </w:r>
      <w:proofErr w:type="gramStart"/>
      <w:r>
        <w:rPr>
          <w:rFonts w:hint="eastAsia"/>
        </w:rPr>
        <w:t>等量表复筛并</w:t>
      </w:r>
      <w:proofErr w:type="gramEnd"/>
      <w:r>
        <w:rPr>
          <w:rFonts w:hint="eastAsia"/>
        </w:rPr>
        <w:t>评估功能受损；</w:t>
      </w:r>
    </w:p>
    <w:p w:rsidR="00110865" w:rsidRDefault="00943B26">
      <w:pPr>
        <w:pStyle w:val="af2"/>
      </w:pPr>
      <w:r>
        <w:rPr>
          <w:rFonts w:hint="eastAsia"/>
        </w:rPr>
        <w:t>PHQ-9判定与处置：以总分进行抑郁症状程度判断，0～4 无/极轻；5～9 轻度；10～14 中度；15～19 中重度；20～27 重度。通常总分≥10分提示抑郁筛查阳性，应评估症状持续时间、功能受损程度</w:t>
      </w:r>
      <w:proofErr w:type="gramStart"/>
      <w:r>
        <w:rPr>
          <w:rFonts w:hint="eastAsia"/>
        </w:rPr>
        <w:t>及共病风险</w:t>
      </w:r>
      <w:proofErr w:type="gramEnd"/>
      <w:r>
        <w:rPr>
          <w:rFonts w:hint="eastAsia"/>
        </w:rPr>
        <w:t>，并提供心理支持与随访复评/转介；其中第9题（自伤/自杀想法）如非“从无”，应立即开展自杀风险评估与安全处置；</w:t>
      </w:r>
    </w:p>
    <w:p w:rsidR="00110865" w:rsidRDefault="00943B26">
      <w:pPr>
        <w:pStyle w:val="af2"/>
      </w:pPr>
      <w:r>
        <w:rPr>
          <w:rFonts w:hint="eastAsia"/>
        </w:rPr>
        <w:t>GAD-7判定与处置：以总分进行焦虑症状程度判断，0～4 无/极轻；5～9 轻度；10～14 中度；15～21 重度。通常总分≥10分提示焦虑筛查阳性，应评估症状持续时间、功能受损程度、诱因及对依从性的影响，给予心理支持与复评。</w:t>
      </w:r>
    </w:p>
    <w:p w:rsidR="00110865" w:rsidRDefault="00943B26">
      <w:pPr>
        <w:pStyle w:val="afffffffff8"/>
      </w:pPr>
      <w:r>
        <w:rPr>
          <w:rFonts w:hint="eastAsia"/>
        </w:rPr>
        <w:t>分级干预建议：</w:t>
      </w:r>
    </w:p>
    <w:p w:rsidR="00110865" w:rsidRDefault="00943B26">
      <w:pPr>
        <w:pStyle w:val="af2"/>
      </w:pPr>
      <w:r>
        <w:rPr>
          <w:rFonts w:hint="eastAsia"/>
        </w:rPr>
        <w:t>无明显风险：常规心理健康宣教与支持，按随访周期复评；</w:t>
      </w:r>
    </w:p>
    <w:p w:rsidR="00110865" w:rsidRDefault="00943B26">
      <w:pPr>
        <w:pStyle w:val="af2"/>
      </w:pPr>
      <w:r>
        <w:rPr>
          <w:rFonts w:hint="eastAsia"/>
        </w:rPr>
        <w:t>轻度风险/边缘结果：开展简短心理支持与问题解决指导（睡眠、压力管理、同伴支持、减少</w:t>
      </w:r>
      <w:proofErr w:type="gramStart"/>
      <w:r>
        <w:rPr>
          <w:rFonts w:hint="eastAsia"/>
        </w:rPr>
        <w:t>污名化</w:t>
      </w:r>
      <w:proofErr w:type="gramEnd"/>
      <w:r>
        <w:rPr>
          <w:rFonts w:hint="eastAsia"/>
        </w:rPr>
        <w:t>影响），加强依从性支持；建议4～8周内复评；</w:t>
      </w:r>
    </w:p>
    <w:p w:rsidR="00110865" w:rsidRDefault="00943B26">
      <w:pPr>
        <w:pStyle w:val="af2"/>
      </w:pPr>
      <w:r>
        <w:rPr>
          <w:rFonts w:hint="eastAsia"/>
        </w:rPr>
        <w:t>中度及以上风险或持续加重并影响功能/依从性：制定个体化干预计划（心理咨询/家庭干预/学校协作等），并尽快转介心理/精神专科；</w:t>
      </w:r>
    </w:p>
    <w:p w:rsidR="00110865" w:rsidRDefault="00943B26">
      <w:pPr>
        <w:pStyle w:val="af2"/>
      </w:pPr>
      <w:r>
        <w:rPr>
          <w:rFonts w:hint="eastAsia"/>
        </w:rPr>
        <w:t>高危情况（自伤/自杀风险、严重行为问题或精神症状、严重功能受损、疑似虐待/忽视、因心理问题导致</w:t>
      </w:r>
      <w:proofErr w:type="gramStart"/>
      <w:r>
        <w:rPr>
          <w:rFonts w:hint="eastAsia"/>
        </w:rPr>
        <w:t>持续拒药</w:t>
      </w:r>
      <w:proofErr w:type="gramEnd"/>
      <w:r>
        <w:rPr>
          <w:rFonts w:hint="eastAsia"/>
        </w:rPr>
        <w:t>/停药）：立即进行危机干预与安全管理，确保监护到位，紧急转介精神专科/急诊并启动社会支持。</w:t>
      </w:r>
    </w:p>
    <w:p w:rsidR="00110865" w:rsidRDefault="00943B26">
      <w:pPr>
        <w:pStyle w:val="affe"/>
        <w:spacing w:before="120" w:after="120"/>
      </w:pPr>
      <w:r>
        <w:rPr>
          <w:rFonts w:hint="eastAsia"/>
        </w:rPr>
        <w:t>家庭与社会支持</w:t>
      </w:r>
    </w:p>
    <w:p w:rsidR="00110865" w:rsidRDefault="00943B26">
      <w:pPr>
        <w:pStyle w:val="afffffd"/>
        <w:ind w:firstLine="420"/>
      </w:pPr>
      <w:r>
        <w:rPr>
          <w:rFonts w:hint="eastAsia"/>
        </w:rPr>
        <w:t>应对6.6的评估内容进行监测。</w:t>
      </w:r>
    </w:p>
    <w:p w:rsidR="00110865" w:rsidRDefault="00943B26">
      <w:pPr>
        <w:pStyle w:val="affd"/>
        <w:spacing w:before="120" w:after="120"/>
      </w:pPr>
      <w:r>
        <w:rPr>
          <w:rFonts w:hint="eastAsia"/>
        </w:rPr>
        <w:t>转介与转诊</w:t>
      </w:r>
    </w:p>
    <w:p w:rsidR="00110865" w:rsidRDefault="00943B26">
      <w:pPr>
        <w:pStyle w:val="afffffffff8"/>
      </w:pPr>
      <w:bookmarkStart w:id="104" w:name="_Hlk224920975"/>
      <w:r>
        <w:rPr>
          <w:rFonts w:hint="eastAsia"/>
        </w:rPr>
        <w:t>转诊前，原机构应与接收单位充分沟通，完整填写转诊交接单与病情介绍。转诊决策</w:t>
      </w:r>
      <w:bookmarkEnd w:id="104"/>
      <w:r>
        <w:rPr>
          <w:rFonts w:hint="eastAsia"/>
        </w:rPr>
        <w:t>应以保障儿童健康权益为核心，并在监护人充分知情、自愿同意的前提下进行。</w:t>
      </w:r>
    </w:p>
    <w:p w:rsidR="00110865" w:rsidRDefault="00943B26">
      <w:pPr>
        <w:pStyle w:val="afffffffff8"/>
      </w:pPr>
      <w:r>
        <w:rPr>
          <w:rFonts w:hint="eastAsia"/>
        </w:rPr>
        <w:t>若定点治疗机构遇到儿童出现严重机会性感染、疑似耐药、药物严重不良反应、合并复杂疾病、需手术、存在神经精神或心理问题等情况时，应及时将其转往具备相应救治能力的上级医院。待病情在上级医院稳定后，可转回原定点治疗机构，或根据实际情况就近选择定点治疗机构进行后续随访与常规治疗。如因家庭搬迁、就学等客观</w:t>
      </w:r>
      <w:proofErr w:type="gramStart"/>
      <w:r>
        <w:rPr>
          <w:rFonts w:hint="eastAsia"/>
        </w:rPr>
        <w:t>原因需跨区域</w:t>
      </w:r>
      <w:proofErr w:type="gramEnd"/>
      <w:r>
        <w:rPr>
          <w:rFonts w:hint="eastAsia"/>
        </w:rPr>
        <w:t>转诊，应按照规范流程办理交接。</w:t>
      </w:r>
    </w:p>
    <w:p w:rsidR="00110865" w:rsidRDefault="00943B26">
      <w:pPr>
        <w:pStyle w:val="afffffffff8"/>
      </w:pPr>
      <w:r>
        <w:rPr>
          <w:rFonts w:hint="eastAsia"/>
        </w:rPr>
        <w:t>当儿童需要心理支持与干预、营养评估与指导、入学协助或其他社会服务时，应及时转介</w:t>
      </w:r>
      <w:proofErr w:type="gramStart"/>
      <w:r>
        <w:rPr>
          <w:rFonts w:hint="eastAsia"/>
        </w:rPr>
        <w:t>至相应</w:t>
      </w:r>
      <w:proofErr w:type="gramEnd"/>
      <w:r>
        <w:rPr>
          <w:rFonts w:hint="eastAsia"/>
        </w:rPr>
        <w:t>的专业机构或支持组织。对于HIV暴露新生儿，应在出生后尽快转介</w:t>
      </w:r>
      <w:proofErr w:type="gramStart"/>
      <w:r>
        <w:rPr>
          <w:rFonts w:hint="eastAsia"/>
        </w:rPr>
        <w:t>至具备</w:t>
      </w:r>
      <w:proofErr w:type="gramEnd"/>
      <w:r>
        <w:rPr>
          <w:rFonts w:hint="eastAsia"/>
        </w:rPr>
        <w:t>条件的机构进行预防性用药与系统随访。</w:t>
      </w:r>
    </w:p>
    <w:p w:rsidR="00110865" w:rsidRDefault="00943B26">
      <w:pPr>
        <w:pStyle w:val="afffffffff8"/>
      </w:pPr>
      <w:bookmarkStart w:id="105" w:name="OLE_LINK12"/>
      <w:r>
        <w:rPr>
          <w:rFonts w:hint="eastAsia"/>
        </w:rPr>
        <w:t>整体服务框架应由疾病预防控制中心统筹协调，依托妇幼保健、疾病预防控制中心、医疗机构、抗病毒治疗点、教育部门、民政部门及社区组织等，建立多部门协作机制，形成运转高效、衔接顺畅的联动转介网络。</w:t>
      </w:r>
      <w:bookmarkEnd w:id="105"/>
    </w:p>
    <w:p w:rsidR="00110865" w:rsidRDefault="00943B26">
      <w:pPr>
        <w:pStyle w:val="affc"/>
        <w:spacing w:before="240" w:after="240"/>
      </w:pPr>
      <w:bookmarkStart w:id="106" w:name="_Toc224929960"/>
      <w:bookmarkStart w:id="107" w:name="_Toc224931454"/>
      <w:bookmarkStart w:id="108" w:name="_Toc224931563"/>
      <w:r>
        <w:rPr>
          <w:rFonts w:hint="eastAsia"/>
        </w:rPr>
        <w:t>档案管理</w:t>
      </w:r>
      <w:bookmarkEnd w:id="106"/>
      <w:bookmarkEnd w:id="107"/>
      <w:bookmarkEnd w:id="108"/>
    </w:p>
    <w:p w:rsidR="00110865" w:rsidRPr="005878C7" w:rsidRDefault="00943B26">
      <w:pPr>
        <w:pStyle w:val="afffffffff6"/>
      </w:pPr>
      <w:r>
        <w:rPr>
          <w:rFonts w:hint="eastAsia"/>
        </w:rPr>
        <w:t>实施“一人一档”管理制度，由指定的个案管理员（医务人员）负责档案的全程建立、整理、保</w:t>
      </w:r>
      <w:r w:rsidRPr="005878C7">
        <w:rPr>
          <w:rFonts w:hint="eastAsia"/>
        </w:rPr>
        <w:t>管与维护，确保责任到人。</w:t>
      </w:r>
    </w:p>
    <w:p w:rsidR="00110865" w:rsidRPr="005878C7" w:rsidRDefault="00943B26">
      <w:pPr>
        <w:pStyle w:val="afffffffff6"/>
      </w:pPr>
      <w:r w:rsidRPr="005878C7">
        <w:rPr>
          <w:rFonts w:hint="eastAsia"/>
        </w:rPr>
        <w:t>档案应存放于安全、独立的物理空间及加密电子系统中，采取防火、防潮、防盗及防泄露等保护措施。</w:t>
      </w:r>
    </w:p>
    <w:p w:rsidR="00110865" w:rsidRDefault="00943B26">
      <w:pPr>
        <w:pStyle w:val="afffffffff6"/>
      </w:pPr>
      <w:r w:rsidRPr="005878C7">
        <w:rPr>
          <w:rFonts w:hint="eastAsia"/>
        </w:rPr>
        <w:t>严格遵守国家医疗保密法律法规及艾滋病信息管理相关规定，加强对儿童身份信息、诊疗记录和</w:t>
      </w:r>
      <w:r>
        <w:rPr>
          <w:rFonts w:hint="eastAsia"/>
        </w:rPr>
        <w:t>家庭资料的保护，不应未经授权查阅、使用或泄露。</w:t>
      </w:r>
    </w:p>
    <w:p w:rsidR="00110865" w:rsidRDefault="00943B26">
      <w:pPr>
        <w:pStyle w:val="afffffffff6"/>
      </w:pPr>
      <w:r>
        <w:rPr>
          <w:rFonts w:hint="eastAsia"/>
        </w:rPr>
        <w:t>档案内容应系统、连续地记录儿童从初次诊断、治疗启动、长期随访、疗效评估直至转介、转诊、脱失或死亡的全过程。所有诊疗操作、实验室结果、药物调整、不良反应及随访信息均应及时、准确、完整地录入与更新。</w:t>
      </w:r>
    </w:p>
    <w:p w:rsidR="00110865" w:rsidRDefault="00943B26">
      <w:pPr>
        <w:pStyle w:val="afffffffff6"/>
        <w:sectPr w:rsidR="00110865">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r>
        <w:rPr>
          <w:rFonts w:hint="eastAsia"/>
        </w:rPr>
        <w:lastRenderedPageBreak/>
        <w:t>建立并完善电子健康档案，与“全国艾滋病防治基本信息系统”实时对接。在推行电子化的同时，应保留关键纸质医疗文书作为必要备份。电子与纸质档案内容应保持一致，实现同步归档与更新。两类档案应建立长期保存机制。</w:t>
      </w:r>
    </w:p>
    <w:p w:rsidR="00110865" w:rsidRDefault="00110865">
      <w:pPr>
        <w:pStyle w:val="af8"/>
        <w:rPr>
          <w:vanish w:val="0"/>
        </w:rPr>
      </w:pPr>
      <w:bookmarkStart w:id="109" w:name="BookMark5"/>
      <w:bookmarkEnd w:id="32"/>
    </w:p>
    <w:p w:rsidR="00110865" w:rsidRDefault="00110865">
      <w:pPr>
        <w:pStyle w:val="afe"/>
        <w:rPr>
          <w:vanish w:val="0"/>
        </w:rPr>
      </w:pPr>
    </w:p>
    <w:p w:rsidR="00110865" w:rsidRDefault="00943B26">
      <w:pPr>
        <w:pStyle w:val="aff3"/>
        <w:spacing w:after="120"/>
      </w:pPr>
      <w:r>
        <w:br/>
      </w:r>
      <w:bookmarkStart w:id="110" w:name="_Toc224931455"/>
      <w:bookmarkStart w:id="111" w:name="_Toc224931564"/>
      <w:bookmarkStart w:id="112" w:name="_Toc224929961"/>
      <w:r>
        <w:rPr>
          <w:rFonts w:hint="eastAsia"/>
        </w:rPr>
        <w:t>（资料性）</w:t>
      </w:r>
      <w:r>
        <w:br/>
      </w:r>
      <w:r>
        <w:rPr>
          <w:rFonts w:hint="eastAsia"/>
        </w:rPr>
        <w:t>生长发育评估</w:t>
      </w:r>
      <w:bookmarkEnd w:id="110"/>
      <w:bookmarkEnd w:id="111"/>
      <w:bookmarkEnd w:id="112"/>
    </w:p>
    <w:p w:rsidR="00110865" w:rsidRDefault="00943B26">
      <w:pPr>
        <w:pStyle w:val="aff4"/>
        <w:spacing w:before="120" w:after="120"/>
      </w:pPr>
      <w:r>
        <w:rPr>
          <w:rFonts w:hint="eastAsia"/>
        </w:rPr>
        <w:t>体格测量</w:t>
      </w:r>
    </w:p>
    <w:p w:rsidR="00110865" w:rsidRDefault="00943B26">
      <w:pPr>
        <w:pStyle w:val="aff5"/>
        <w:spacing w:before="120" w:after="120"/>
      </w:pPr>
      <w:r>
        <w:rPr>
          <w:rFonts w:hint="eastAsia"/>
        </w:rPr>
        <w:t>体重</w:t>
      </w:r>
    </w:p>
    <w:p w:rsidR="00110865" w:rsidRDefault="00943B26">
      <w:pPr>
        <w:pStyle w:val="afffffffffff2"/>
      </w:pPr>
      <w:r>
        <w:rPr>
          <w:rFonts w:hint="eastAsia"/>
        </w:rPr>
        <w:t>测量前准备：每次测量体重前需校正体重秤零点。儿童脱去外衣、鞋、袜、帽，排空大小便，婴儿去掉尿布。冬季注意保持室内温暖，让儿童仅穿单衣裤，准确称量并除去衣服重量。</w:t>
      </w:r>
    </w:p>
    <w:p w:rsidR="00110865" w:rsidRDefault="00943B26">
      <w:pPr>
        <w:pStyle w:val="afffffffffff2"/>
      </w:pPr>
      <w:r>
        <w:rPr>
          <w:rFonts w:hint="eastAsia"/>
        </w:rPr>
        <w:t>测量方法：测量时儿童不能接触其它物体。使用杠杆式体重</w:t>
      </w:r>
      <w:proofErr w:type="gramStart"/>
      <w:r>
        <w:rPr>
          <w:rFonts w:hint="eastAsia"/>
        </w:rPr>
        <w:t>秤进行</w:t>
      </w:r>
      <w:proofErr w:type="gramEnd"/>
      <w:r>
        <w:rPr>
          <w:rFonts w:hint="eastAsia"/>
        </w:rPr>
        <w:t>测量时，放置的砝码应接</w:t>
      </w:r>
      <w:proofErr w:type="gramStart"/>
      <w:r>
        <w:rPr>
          <w:rFonts w:hint="eastAsia"/>
        </w:rPr>
        <w:t>近儿童</w:t>
      </w:r>
      <w:proofErr w:type="gramEnd"/>
      <w:r>
        <w:rPr>
          <w:rFonts w:hint="eastAsia"/>
        </w:rPr>
        <w:t>体重，并迅速调整游锤，使杠杆呈正中水平，将砝码及游锤所示读数相加；使用电子体重秤称重时，</w:t>
      </w:r>
      <w:proofErr w:type="gramStart"/>
      <w:r>
        <w:rPr>
          <w:rFonts w:hint="eastAsia"/>
        </w:rPr>
        <w:t>待数据</w:t>
      </w:r>
      <w:proofErr w:type="gramEnd"/>
      <w:r>
        <w:rPr>
          <w:rFonts w:hint="eastAsia"/>
        </w:rPr>
        <w:t>稳定后读数。记录时需除去衣服重量。体重记录以千克（kg）为单位，至小数点后1位。</w:t>
      </w:r>
    </w:p>
    <w:p w:rsidR="00110865" w:rsidRDefault="00943B26">
      <w:pPr>
        <w:pStyle w:val="aff5"/>
        <w:spacing w:before="120" w:after="120"/>
      </w:pPr>
      <w:r>
        <w:rPr>
          <w:rFonts w:hint="eastAsia"/>
        </w:rPr>
        <w:t>身长（身高）</w:t>
      </w:r>
    </w:p>
    <w:p w:rsidR="00110865" w:rsidRDefault="00943B26">
      <w:pPr>
        <w:pStyle w:val="afffffffffff2"/>
      </w:pPr>
      <w:r>
        <w:rPr>
          <w:rFonts w:hint="eastAsia"/>
        </w:rPr>
        <w:t>测量前准备：2岁及以下儿童测量身长，2岁以上儿童测量身高。儿童测量身长（身高）前应脱去外衣、鞋、袜、帽。</w:t>
      </w:r>
    </w:p>
    <w:p w:rsidR="00110865" w:rsidRDefault="00943B26">
      <w:pPr>
        <w:pStyle w:val="afffffffffff2"/>
      </w:pPr>
      <w:r>
        <w:rPr>
          <w:rFonts w:hint="eastAsia"/>
        </w:rPr>
        <w:t>测量方法：</w:t>
      </w:r>
    </w:p>
    <w:p w:rsidR="00110865" w:rsidRDefault="00943B26">
      <w:pPr>
        <w:pStyle w:val="af2"/>
      </w:pPr>
      <w:r>
        <w:rPr>
          <w:rFonts w:hint="eastAsia"/>
        </w:rPr>
        <w:t>测量身长时，儿童仰卧</w:t>
      </w:r>
      <w:proofErr w:type="gramStart"/>
      <w:r>
        <w:rPr>
          <w:rFonts w:hint="eastAsia"/>
        </w:rPr>
        <w:t>于量床中央</w:t>
      </w:r>
      <w:proofErr w:type="gramEnd"/>
      <w:r>
        <w:rPr>
          <w:rFonts w:hint="eastAsia"/>
        </w:rPr>
        <w:t>，助手将头扶正，头顶接触头板，两耳在同一水平。测量者立于儿童右侧，左手握住儿童</w:t>
      </w:r>
      <w:proofErr w:type="gramStart"/>
      <w:r>
        <w:rPr>
          <w:rFonts w:hint="eastAsia"/>
        </w:rPr>
        <w:t>两膝使腿</w:t>
      </w:r>
      <w:proofErr w:type="gramEnd"/>
      <w:r>
        <w:rPr>
          <w:rFonts w:hint="eastAsia"/>
        </w:rPr>
        <w:t>伸直，右手移动足板使其接触双脚跟部，</w:t>
      </w:r>
      <w:proofErr w:type="gramStart"/>
      <w:r>
        <w:rPr>
          <w:rFonts w:hint="eastAsia"/>
        </w:rPr>
        <w:t>注意量床两侧</w:t>
      </w:r>
      <w:proofErr w:type="gramEnd"/>
      <w:r>
        <w:rPr>
          <w:rFonts w:hint="eastAsia"/>
        </w:rPr>
        <w:t>的读数应保持一致，然后读数；</w:t>
      </w:r>
    </w:p>
    <w:p w:rsidR="00110865" w:rsidRDefault="00943B26">
      <w:pPr>
        <w:pStyle w:val="af2"/>
      </w:pPr>
      <w:r>
        <w:rPr>
          <w:rFonts w:hint="eastAsia"/>
        </w:rPr>
        <w:t>测量身高时，应取立位，两眼直视正前方，胸部挺起，两臂自然下垂，脚跟并拢，脚尖分开约60度，脚跟、臀部与两肩胛间三点同时接触立柱，头部保持正中位置，使测量板与头顶点接触，读测量板垂直交于立柱上刻度的数字，视线应与立柱上刻度的数字平行。儿童身长（身高）记录以厘米（cm）为单位，至小数点后1位。</w:t>
      </w:r>
    </w:p>
    <w:p w:rsidR="00110865" w:rsidRDefault="00943B26">
      <w:pPr>
        <w:pStyle w:val="aff5"/>
        <w:spacing w:before="120" w:after="120"/>
      </w:pPr>
      <w:r>
        <w:rPr>
          <w:rFonts w:hint="eastAsia"/>
        </w:rPr>
        <w:t>头围</w:t>
      </w:r>
    </w:p>
    <w:p w:rsidR="00110865" w:rsidRDefault="00943B26">
      <w:pPr>
        <w:pStyle w:val="afffffd"/>
        <w:ind w:firstLine="420"/>
      </w:pPr>
      <w:r>
        <w:rPr>
          <w:rFonts w:hint="eastAsia"/>
        </w:rPr>
        <w:t>儿童取坐位或仰卧位，测量者位于儿童右侧或前方，用左手拇指将软尺零点固定于头部右侧眉弓上缘处，经枕骨粗隆及左侧眉弓上缘回至零点，女童应松开发辫，软尺紧贴头皮，避免下压。儿童头围记录以厘米（cm）为单位，至小数点后1位。</w:t>
      </w:r>
    </w:p>
    <w:p w:rsidR="00110865" w:rsidRDefault="00943B26">
      <w:pPr>
        <w:pStyle w:val="aff4"/>
        <w:spacing w:before="120" w:after="120"/>
      </w:pPr>
      <w:r>
        <w:rPr>
          <w:rFonts w:hint="eastAsia"/>
        </w:rPr>
        <w:t>体格生长评价</w:t>
      </w:r>
    </w:p>
    <w:p w:rsidR="00110865" w:rsidRDefault="00943B26">
      <w:pPr>
        <w:pStyle w:val="aff5"/>
        <w:spacing w:before="120" w:after="120"/>
      </w:pPr>
      <w:r>
        <w:rPr>
          <w:rFonts w:hint="eastAsia"/>
        </w:rPr>
        <w:t>评价指标</w:t>
      </w:r>
    </w:p>
    <w:p w:rsidR="00110865" w:rsidRDefault="00943B26">
      <w:pPr>
        <w:pStyle w:val="afffffd"/>
        <w:ind w:firstLine="420"/>
      </w:pPr>
      <w:r>
        <w:rPr>
          <w:rFonts w:hint="eastAsia"/>
        </w:rPr>
        <w:t>体重/年龄、身长（身高）/年龄、头围/年龄、体重/身长（身高）和BMI/年龄。</w:t>
      </w:r>
    </w:p>
    <w:p w:rsidR="00110865" w:rsidRDefault="00943B26">
      <w:pPr>
        <w:pStyle w:val="aff5"/>
        <w:spacing w:before="120" w:after="120"/>
      </w:pPr>
      <w:r>
        <w:rPr>
          <w:rFonts w:hint="eastAsia"/>
        </w:rPr>
        <w:t>评价方法</w:t>
      </w:r>
    </w:p>
    <w:p w:rsidR="00110865" w:rsidRDefault="00943B26">
      <w:pPr>
        <w:pStyle w:val="aff6"/>
        <w:spacing w:before="120" w:after="120"/>
      </w:pPr>
      <w:r>
        <w:rPr>
          <w:rFonts w:hint="eastAsia"/>
        </w:rPr>
        <w:t>数据表法</w:t>
      </w:r>
    </w:p>
    <w:p w:rsidR="00110865" w:rsidRDefault="00943B26">
      <w:pPr>
        <w:pStyle w:val="afffffffffff3"/>
      </w:pPr>
      <w:r>
        <w:rPr>
          <w:rFonts w:hint="eastAsia"/>
        </w:rPr>
        <w:t>离差法（标准差法）：以中位数（M）为基值加减标准差(SD)来评价体格生长，可采用五等级划分法和三等级划分法（见表A.1）。</w:t>
      </w:r>
    </w:p>
    <w:p w:rsidR="00110865" w:rsidRDefault="00943B26">
      <w:pPr>
        <w:pStyle w:val="aff"/>
        <w:spacing w:before="120" w:after="120"/>
      </w:pPr>
      <w:r>
        <w:rPr>
          <w:rFonts w:hint="eastAsia"/>
        </w:rPr>
        <w:t>等级划分法</w:t>
      </w:r>
    </w:p>
    <w:tbl>
      <w:tblPr>
        <w:tblW w:w="4802"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14"/>
        <w:gridCol w:w="1294"/>
        <w:gridCol w:w="1856"/>
        <w:gridCol w:w="1440"/>
        <w:gridCol w:w="1830"/>
        <w:gridCol w:w="1230"/>
      </w:tblGrid>
      <w:tr w:rsidR="00110865">
        <w:trPr>
          <w:jc w:val="center"/>
        </w:trPr>
        <w:tc>
          <w:tcPr>
            <w:tcW w:w="733" w:type="pct"/>
            <w:tcBorders>
              <w:top w:val="single" w:sz="8"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等级</w:t>
            </w:r>
          </w:p>
        </w:tc>
        <w:tc>
          <w:tcPr>
            <w:tcW w:w="722" w:type="pct"/>
            <w:tcBorders>
              <w:top w:val="single" w:sz="8"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&lt;M-2SD</w:t>
            </w:r>
          </w:p>
        </w:tc>
        <w:tc>
          <w:tcPr>
            <w:tcW w:w="1035" w:type="pct"/>
            <w:tcBorders>
              <w:top w:val="single" w:sz="8"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M-2SD～M-1SD</w:t>
            </w:r>
          </w:p>
        </w:tc>
        <w:tc>
          <w:tcPr>
            <w:tcW w:w="803" w:type="pct"/>
            <w:tcBorders>
              <w:top w:val="single" w:sz="8"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M±1SD</w:t>
            </w:r>
          </w:p>
        </w:tc>
        <w:tc>
          <w:tcPr>
            <w:tcW w:w="1021" w:type="pct"/>
            <w:tcBorders>
              <w:top w:val="single" w:sz="8"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M+1SD～M+2SD</w:t>
            </w:r>
          </w:p>
        </w:tc>
        <w:tc>
          <w:tcPr>
            <w:tcW w:w="687" w:type="pct"/>
            <w:tcBorders>
              <w:top w:val="single" w:sz="8"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&gt;M+2SD</w:t>
            </w:r>
          </w:p>
        </w:tc>
      </w:tr>
      <w:tr w:rsidR="00110865">
        <w:trPr>
          <w:jc w:val="center"/>
        </w:trPr>
        <w:tc>
          <w:tcPr>
            <w:tcW w:w="733" w:type="pct"/>
            <w:tcBorders>
              <w:top w:val="single" w:sz="8" w:space="0" w:color="auto"/>
            </w:tcBorders>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五等级</w:t>
            </w:r>
          </w:p>
        </w:tc>
        <w:tc>
          <w:tcPr>
            <w:tcW w:w="722" w:type="pct"/>
            <w:tcBorders>
              <w:top w:val="single" w:sz="8" w:space="0" w:color="auto"/>
            </w:tcBorders>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下</w:t>
            </w:r>
          </w:p>
        </w:tc>
        <w:tc>
          <w:tcPr>
            <w:tcW w:w="1035" w:type="pct"/>
            <w:tcBorders>
              <w:top w:val="single" w:sz="8" w:space="0" w:color="auto"/>
            </w:tcBorders>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中下</w:t>
            </w:r>
          </w:p>
        </w:tc>
        <w:tc>
          <w:tcPr>
            <w:tcW w:w="803" w:type="pct"/>
            <w:tcBorders>
              <w:top w:val="single" w:sz="8" w:space="0" w:color="auto"/>
            </w:tcBorders>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中</w:t>
            </w:r>
          </w:p>
        </w:tc>
        <w:tc>
          <w:tcPr>
            <w:tcW w:w="1021" w:type="pct"/>
            <w:tcBorders>
              <w:top w:val="single" w:sz="8" w:space="0" w:color="auto"/>
            </w:tcBorders>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中上</w:t>
            </w:r>
          </w:p>
        </w:tc>
        <w:tc>
          <w:tcPr>
            <w:tcW w:w="687" w:type="pct"/>
            <w:tcBorders>
              <w:top w:val="single" w:sz="8" w:space="0" w:color="auto"/>
            </w:tcBorders>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上</w:t>
            </w:r>
          </w:p>
        </w:tc>
      </w:tr>
      <w:tr w:rsidR="00110865">
        <w:trPr>
          <w:jc w:val="center"/>
        </w:trPr>
        <w:tc>
          <w:tcPr>
            <w:tcW w:w="733" w:type="pct"/>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三等级</w:t>
            </w:r>
          </w:p>
        </w:tc>
        <w:tc>
          <w:tcPr>
            <w:tcW w:w="722" w:type="pct"/>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下</w:t>
            </w:r>
          </w:p>
        </w:tc>
        <w:tc>
          <w:tcPr>
            <w:tcW w:w="2859" w:type="pct"/>
            <w:gridSpan w:val="3"/>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中</w:t>
            </w:r>
          </w:p>
        </w:tc>
        <w:tc>
          <w:tcPr>
            <w:tcW w:w="687" w:type="pct"/>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上</w:t>
            </w:r>
          </w:p>
        </w:tc>
      </w:tr>
    </w:tbl>
    <w:p w:rsidR="00110865" w:rsidRDefault="00110865">
      <w:pPr>
        <w:pStyle w:val="afffffffffff3"/>
        <w:numPr>
          <w:ilvl w:val="0"/>
          <w:numId w:val="0"/>
        </w:numPr>
      </w:pPr>
    </w:p>
    <w:p w:rsidR="00110865" w:rsidRDefault="00943B26">
      <w:pPr>
        <w:pStyle w:val="afffffffffff3"/>
      </w:pPr>
      <w:r>
        <w:rPr>
          <w:rFonts w:hint="eastAsia"/>
        </w:rPr>
        <w:t>百分位数法：将参照人群的第50</w:t>
      </w:r>
      <w:proofErr w:type="gramStart"/>
      <w:r>
        <w:rPr>
          <w:rFonts w:hint="eastAsia"/>
        </w:rPr>
        <w:t>百</w:t>
      </w:r>
      <w:proofErr w:type="gramEnd"/>
      <w:r>
        <w:rPr>
          <w:rFonts w:hint="eastAsia"/>
        </w:rPr>
        <w:t>分位数(P50)为基准值，第3</w:t>
      </w:r>
      <w:proofErr w:type="gramStart"/>
      <w:r>
        <w:rPr>
          <w:rFonts w:hint="eastAsia"/>
        </w:rPr>
        <w:t>百</w:t>
      </w:r>
      <w:proofErr w:type="gramEnd"/>
      <w:r>
        <w:rPr>
          <w:rFonts w:hint="eastAsia"/>
        </w:rPr>
        <w:t>分位数值相当于离差法的中位数减2个标准差，第97</w:t>
      </w:r>
      <w:proofErr w:type="gramStart"/>
      <w:r>
        <w:rPr>
          <w:rFonts w:hint="eastAsia"/>
        </w:rPr>
        <w:t>百</w:t>
      </w:r>
      <w:proofErr w:type="gramEnd"/>
      <w:r>
        <w:rPr>
          <w:rFonts w:hint="eastAsia"/>
        </w:rPr>
        <w:t>分位数值相当于离差法的中位数加2个标准差。</w:t>
      </w:r>
    </w:p>
    <w:p w:rsidR="00110865" w:rsidRDefault="00943B26">
      <w:pPr>
        <w:pStyle w:val="aff6"/>
        <w:spacing w:before="120" w:after="120"/>
      </w:pPr>
      <w:r>
        <w:rPr>
          <w:rFonts w:hint="eastAsia"/>
        </w:rPr>
        <w:lastRenderedPageBreak/>
        <w:t>曲线图法</w:t>
      </w:r>
    </w:p>
    <w:p w:rsidR="00110865" w:rsidRDefault="00943B26">
      <w:pPr>
        <w:pStyle w:val="afffffd"/>
        <w:ind w:firstLine="420"/>
      </w:pPr>
      <w:r>
        <w:rPr>
          <w:rFonts w:hint="eastAsia"/>
        </w:rPr>
        <w:t>以横坐标的年龄或身长（身高）点做一与横坐标垂直的线，再以纵坐标的体重、身长（身高）、头围测量值或BMI值为点作与纵坐标垂直的线，两线相交点即为该年龄儿童体重、身长（身高）、头围、BMI 在曲线图的位置或水平，将连续多个体重、身长（身高）、头围、BMI的描绘点连线即获得该儿童体重、身长（身高）、头围、BMI生长轨迹或趋势。</w:t>
      </w:r>
    </w:p>
    <w:p w:rsidR="00110865" w:rsidRDefault="00943B26">
      <w:pPr>
        <w:pStyle w:val="aff5"/>
        <w:spacing w:before="120" w:after="120"/>
      </w:pPr>
      <w:r>
        <w:rPr>
          <w:rFonts w:hint="eastAsia"/>
        </w:rPr>
        <w:t>评价内容</w:t>
      </w:r>
    </w:p>
    <w:p w:rsidR="00110865" w:rsidRDefault="00943B26">
      <w:pPr>
        <w:pStyle w:val="afffffffffff2"/>
      </w:pPr>
      <w:r>
        <w:rPr>
          <w:rFonts w:hint="eastAsia"/>
        </w:rPr>
        <w:t>生长水平：指个体儿童在同年龄同性别人群中所处的位置，为该儿童生长的现况水平（见表A.2）。</w:t>
      </w:r>
    </w:p>
    <w:p w:rsidR="00110865" w:rsidRDefault="00943B26">
      <w:pPr>
        <w:pStyle w:val="aff"/>
        <w:spacing w:before="120" w:after="120"/>
      </w:pPr>
      <w:r>
        <w:rPr>
          <w:rFonts w:hint="eastAsia"/>
        </w:rPr>
        <w:t>生长水平和匀称度的评价</w:t>
      </w:r>
    </w:p>
    <w:tbl>
      <w:tblPr>
        <w:tblW w:w="920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268"/>
        <w:gridCol w:w="2160"/>
        <w:gridCol w:w="2340"/>
        <w:gridCol w:w="2441"/>
      </w:tblGrid>
      <w:tr w:rsidR="00110865">
        <w:trPr>
          <w:jc w:val="center"/>
        </w:trPr>
        <w:tc>
          <w:tcPr>
            <w:tcW w:w="2268" w:type="dxa"/>
            <w:vMerge w:val="restart"/>
            <w:tcBorders>
              <w:top w:val="single" w:sz="8" w:space="0" w:color="auto"/>
              <w:bottom w:val="single" w:sz="4"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指标</w:t>
            </w:r>
          </w:p>
        </w:tc>
        <w:tc>
          <w:tcPr>
            <w:tcW w:w="4500" w:type="dxa"/>
            <w:gridSpan w:val="2"/>
            <w:tcBorders>
              <w:top w:val="single" w:sz="8" w:space="0" w:color="auto"/>
              <w:bottom w:val="single" w:sz="4" w:space="0" w:color="auto"/>
              <w:right w:val="single" w:sz="4"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测量值</w:t>
            </w:r>
          </w:p>
        </w:tc>
        <w:tc>
          <w:tcPr>
            <w:tcW w:w="2441" w:type="dxa"/>
            <w:vMerge w:val="restart"/>
            <w:tcBorders>
              <w:top w:val="single" w:sz="8" w:space="0" w:color="auto"/>
              <w:left w:val="single" w:sz="4"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评价</w:t>
            </w:r>
          </w:p>
        </w:tc>
      </w:tr>
      <w:tr w:rsidR="00110865">
        <w:trPr>
          <w:jc w:val="center"/>
        </w:trPr>
        <w:tc>
          <w:tcPr>
            <w:tcW w:w="2268" w:type="dxa"/>
            <w:vMerge/>
            <w:tcBorders>
              <w:top w:val="single" w:sz="4" w:space="0" w:color="auto"/>
              <w:bottom w:val="single" w:sz="8" w:space="0" w:color="auto"/>
            </w:tcBorders>
            <w:vAlign w:val="center"/>
          </w:tcPr>
          <w:p w:rsidR="00110865" w:rsidRDefault="00110865">
            <w:pPr>
              <w:spacing w:line="240" w:lineRule="auto"/>
              <w:jc w:val="center"/>
              <w:rPr>
                <w:rFonts w:ascii="宋体" w:hAnsi="宋体" w:cs="宋体"/>
                <w:sz w:val="18"/>
                <w:szCs w:val="18"/>
              </w:rPr>
            </w:pPr>
          </w:p>
        </w:tc>
        <w:tc>
          <w:tcPr>
            <w:tcW w:w="2160" w:type="dxa"/>
            <w:tcBorders>
              <w:top w:val="single" w:sz="4" w:space="0" w:color="auto"/>
              <w:bottom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百分位法</w:t>
            </w:r>
          </w:p>
        </w:tc>
        <w:tc>
          <w:tcPr>
            <w:tcW w:w="2340" w:type="dxa"/>
            <w:tcBorders>
              <w:top w:val="single" w:sz="4" w:space="0" w:color="auto"/>
              <w:bottom w:val="single" w:sz="8" w:space="0" w:color="auto"/>
              <w:right w:val="single" w:sz="4"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标准差法</w:t>
            </w:r>
          </w:p>
        </w:tc>
        <w:tc>
          <w:tcPr>
            <w:tcW w:w="2441" w:type="dxa"/>
            <w:vMerge/>
            <w:tcBorders>
              <w:top w:val="single" w:sz="4" w:space="0" w:color="auto"/>
              <w:left w:val="single" w:sz="4" w:space="0" w:color="auto"/>
              <w:bottom w:val="single" w:sz="8" w:space="0" w:color="auto"/>
            </w:tcBorders>
            <w:vAlign w:val="center"/>
          </w:tcPr>
          <w:p w:rsidR="00110865" w:rsidRDefault="00110865">
            <w:pPr>
              <w:spacing w:line="240" w:lineRule="auto"/>
              <w:jc w:val="center"/>
              <w:rPr>
                <w:rFonts w:ascii="宋体" w:hAnsi="宋体" w:cs="宋体"/>
                <w:sz w:val="18"/>
                <w:szCs w:val="18"/>
              </w:rPr>
            </w:pPr>
          </w:p>
        </w:tc>
      </w:tr>
      <w:tr w:rsidR="00110865">
        <w:trPr>
          <w:jc w:val="center"/>
        </w:trPr>
        <w:tc>
          <w:tcPr>
            <w:tcW w:w="2268" w:type="dxa"/>
            <w:tcBorders>
              <w:top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体重/年龄</w:t>
            </w:r>
          </w:p>
        </w:tc>
        <w:tc>
          <w:tcPr>
            <w:tcW w:w="2160" w:type="dxa"/>
            <w:tcBorders>
              <w:top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﹤P3</w:t>
            </w:r>
          </w:p>
        </w:tc>
        <w:tc>
          <w:tcPr>
            <w:tcW w:w="2340" w:type="dxa"/>
            <w:tcBorders>
              <w:top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w:t>
            </w:r>
          </w:p>
        </w:tc>
        <w:tc>
          <w:tcPr>
            <w:tcW w:w="2441" w:type="dxa"/>
            <w:tcBorders>
              <w:top w:val="single" w:sz="8" w:space="0" w:color="auto"/>
            </w:tcBorders>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低体重</w:t>
            </w:r>
          </w:p>
        </w:tc>
      </w:tr>
      <w:tr w:rsidR="00110865">
        <w:trPr>
          <w:jc w:val="center"/>
        </w:trPr>
        <w:tc>
          <w:tcPr>
            <w:tcW w:w="2268"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身长（身高）/年龄</w:t>
            </w:r>
          </w:p>
        </w:tc>
        <w:tc>
          <w:tcPr>
            <w:tcW w:w="216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﹤P3</w:t>
            </w:r>
          </w:p>
        </w:tc>
        <w:tc>
          <w:tcPr>
            <w:tcW w:w="234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w:t>
            </w:r>
          </w:p>
        </w:tc>
        <w:tc>
          <w:tcPr>
            <w:tcW w:w="2441"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生长迟缓</w:t>
            </w:r>
          </w:p>
        </w:tc>
      </w:tr>
      <w:tr w:rsidR="00110865">
        <w:trPr>
          <w:jc w:val="center"/>
        </w:trPr>
        <w:tc>
          <w:tcPr>
            <w:tcW w:w="2268" w:type="dxa"/>
            <w:vMerge w:val="restart"/>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体重/身长（身高）</w:t>
            </w:r>
          </w:p>
        </w:tc>
        <w:tc>
          <w:tcPr>
            <w:tcW w:w="216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﹤P3</w:t>
            </w:r>
          </w:p>
        </w:tc>
        <w:tc>
          <w:tcPr>
            <w:tcW w:w="234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w:t>
            </w:r>
          </w:p>
        </w:tc>
        <w:tc>
          <w:tcPr>
            <w:tcW w:w="2441"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消瘦</w:t>
            </w:r>
          </w:p>
        </w:tc>
      </w:tr>
      <w:tr w:rsidR="00110865">
        <w:trPr>
          <w:jc w:val="center"/>
        </w:trPr>
        <w:tc>
          <w:tcPr>
            <w:tcW w:w="2268" w:type="dxa"/>
            <w:vMerge/>
            <w:vAlign w:val="center"/>
          </w:tcPr>
          <w:p w:rsidR="00110865" w:rsidRDefault="00110865">
            <w:pPr>
              <w:spacing w:line="240" w:lineRule="auto"/>
              <w:jc w:val="center"/>
              <w:rPr>
                <w:rFonts w:ascii="宋体" w:hAnsi="宋体" w:cs="宋体"/>
                <w:sz w:val="18"/>
                <w:szCs w:val="18"/>
              </w:rPr>
            </w:pPr>
          </w:p>
        </w:tc>
        <w:tc>
          <w:tcPr>
            <w:tcW w:w="216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P85～P97</w:t>
            </w:r>
          </w:p>
        </w:tc>
        <w:tc>
          <w:tcPr>
            <w:tcW w:w="234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M+1SD～M+2SD</w:t>
            </w:r>
          </w:p>
        </w:tc>
        <w:tc>
          <w:tcPr>
            <w:tcW w:w="2441"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超重</w:t>
            </w:r>
          </w:p>
        </w:tc>
      </w:tr>
      <w:tr w:rsidR="00110865">
        <w:trPr>
          <w:jc w:val="center"/>
        </w:trPr>
        <w:tc>
          <w:tcPr>
            <w:tcW w:w="2268" w:type="dxa"/>
            <w:vMerge/>
            <w:vAlign w:val="center"/>
          </w:tcPr>
          <w:p w:rsidR="00110865" w:rsidRDefault="00110865">
            <w:pPr>
              <w:spacing w:line="240" w:lineRule="auto"/>
              <w:jc w:val="center"/>
              <w:rPr>
                <w:rFonts w:ascii="宋体" w:hAnsi="宋体" w:cs="宋体"/>
                <w:sz w:val="18"/>
                <w:szCs w:val="18"/>
              </w:rPr>
            </w:pPr>
          </w:p>
        </w:tc>
        <w:tc>
          <w:tcPr>
            <w:tcW w:w="216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﹥P97</w:t>
            </w:r>
          </w:p>
        </w:tc>
        <w:tc>
          <w:tcPr>
            <w:tcW w:w="234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w:t>
            </w:r>
          </w:p>
        </w:tc>
        <w:tc>
          <w:tcPr>
            <w:tcW w:w="2441"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肥胖</w:t>
            </w:r>
          </w:p>
        </w:tc>
      </w:tr>
      <w:tr w:rsidR="00110865">
        <w:trPr>
          <w:jc w:val="center"/>
        </w:trPr>
        <w:tc>
          <w:tcPr>
            <w:tcW w:w="2268" w:type="dxa"/>
            <w:vMerge w:val="restart"/>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头围/年龄</w:t>
            </w:r>
          </w:p>
        </w:tc>
        <w:tc>
          <w:tcPr>
            <w:tcW w:w="216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﹤P3</w:t>
            </w:r>
          </w:p>
        </w:tc>
        <w:tc>
          <w:tcPr>
            <w:tcW w:w="234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w:t>
            </w:r>
          </w:p>
        </w:tc>
        <w:tc>
          <w:tcPr>
            <w:tcW w:w="2441"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过小</w:t>
            </w:r>
          </w:p>
        </w:tc>
      </w:tr>
      <w:tr w:rsidR="00110865">
        <w:trPr>
          <w:jc w:val="center"/>
        </w:trPr>
        <w:tc>
          <w:tcPr>
            <w:tcW w:w="2268" w:type="dxa"/>
            <w:vMerge/>
            <w:vAlign w:val="center"/>
          </w:tcPr>
          <w:p w:rsidR="00110865" w:rsidRDefault="00110865">
            <w:pPr>
              <w:spacing w:line="240" w:lineRule="auto"/>
              <w:jc w:val="center"/>
              <w:rPr>
                <w:rFonts w:ascii="宋体" w:hAnsi="宋体" w:cs="宋体"/>
                <w:sz w:val="18"/>
                <w:szCs w:val="18"/>
              </w:rPr>
            </w:pPr>
          </w:p>
        </w:tc>
        <w:tc>
          <w:tcPr>
            <w:tcW w:w="216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﹥P97</w:t>
            </w:r>
          </w:p>
        </w:tc>
        <w:tc>
          <w:tcPr>
            <w:tcW w:w="2340"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﹥M+2SD</w:t>
            </w:r>
          </w:p>
        </w:tc>
        <w:tc>
          <w:tcPr>
            <w:tcW w:w="2441" w:type="dxa"/>
            <w:vAlign w:val="center"/>
          </w:tcPr>
          <w:p w:rsidR="00110865" w:rsidRDefault="00943B26">
            <w:pPr>
              <w:spacing w:line="240" w:lineRule="auto"/>
              <w:jc w:val="center"/>
              <w:rPr>
                <w:rFonts w:ascii="宋体" w:hAnsi="宋体" w:cs="宋体"/>
                <w:sz w:val="18"/>
                <w:szCs w:val="18"/>
              </w:rPr>
            </w:pPr>
            <w:r>
              <w:rPr>
                <w:rFonts w:ascii="宋体" w:hAnsi="宋体" w:cs="宋体" w:hint="eastAsia"/>
                <w:sz w:val="18"/>
                <w:szCs w:val="18"/>
              </w:rPr>
              <w:t>过大</w:t>
            </w:r>
          </w:p>
        </w:tc>
      </w:tr>
    </w:tbl>
    <w:p w:rsidR="00110865" w:rsidRDefault="00110865">
      <w:pPr>
        <w:pStyle w:val="afffffffffff2"/>
        <w:numPr>
          <w:ilvl w:val="0"/>
          <w:numId w:val="0"/>
        </w:numPr>
      </w:pPr>
    </w:p>
    <w:p w:rsidR="00110865" w:rsidRDefault="00943B26">
      <w:pPr>
        <w:pStyle w:val="afffffffffff2"/>
      </w:pPr>
      <w:r>
        <w:rPr>
          <w:rFonts w:hint="eastAsia"/>
        </w:rPr>
        <w:t>匀称度：包括体型匀称和身材匀称，通过体重/身长（身高）可反映儿童的体型和人体各部分的比例关系（见表A.2）。</w:t>
      </w:r>
    </w:p>
    <w:p w:rsidR="00110865" w:rsidRDefault="00943B26">
      <w:pPr>
        <w:pStyle w:val="afffffffffff2"/>
      </w:pPr>
      <w:r>
        <w:rPr>
          <w:rFonts w:hint="eastAsia"/>
        </w:rPr>
        <w:t>生长速度：将个体儿童不同年龄时点的测量值在生长曲线图上描记并连接成一条曲线，与生长曲线图中的参照曲线比较，即可判断该儿童在此段时间的生长速度是正常、增长不良或过速。纵向观察儿童生长速度可掌握个体儿童自身的生长轨迹：</w:t>
      </w:r>
    </w:p>
    <w:p w:rsidR="00110865" w:rsidRDefault="00943B26">
      <w:pPr>
        <w:pStyle w:val="af2"/>
      </w:pPr>
      <w:r>
        <w:rPr>
          <w:rFonts w:hint="eastAsia"/>
        </w:rPr>
        <w:t>正常增长：与参照曲线相比，儿童的自身生长曲线与参照曲线平行上升即为正常增长；</w:t>
      </w:r>
    </w:p>
    <w:p w:rsidR="00110865" w:rsidRDefault="00943B26">
      <w:pPr>
        <w:pStyle w:val="af2"/>
      </w:pPr>
      <w:r>
        <w:rPr>
          <w:rFonts w:hint="eastAsia"/>
        </w:rPr>
        <w:t>增长不良：与参照曲线相比，儿童的自身生长曲线上升缓慢（增长不足：增长值为正数，但低于参照速度标准）、持平（不增：增长值为零）或下降（增长值为负数）；</w:t>
      </w:r>
    </w:p>
    <w:p w:rsidR="00110865" w:rsidRDefault="00943B26">
      <w:pPr>
        <w:pStyle w:val="af2"/>
      </w:pPr>
      <w:r>
        <w:rPr>
          <w:rFonts w:hint="eastAsia"/>
        </w:rPr>
        <w:t>增长过速：与参照曲线相比，儿童的自身生长曲线上升迅速（增长值超过参照速度标准）。</w:t>
      </w:r>
    </w:p>
    <w:p w:rsidR="00110865" w:rsidRDefault="00943B26">
      <w:pPr>
        <w:pStyle w:val="aff5"/>
        <w:spacing w:before="120" w:after="120"/>
      </w:pPr>
      <w:r>
        <w:rPr>
          <w:rFonts w:hint="eastAsia"/>
        </w:rPr>
        <w:t>指导</w:t>
      </w:r>
    </w:p>
    <w:p w:rsidR="00110865" w:rsidRDefault="00943B26">
      <w:pPr>
        <w:pStyle w:val="afffffffffff2"/>
      </w:pPr>
      <w:r>
        <w:rPr>
          <w:rFonts w:hint="eastAsia"/>
        </w:rPr>
        <w:t>喂养与营养：提倡人工喂养，指导家长进行科学的食物转换、均衡膳食营养、培养儿童良好的进食行为、注意食品安全。预防儿童蛋白质-能量营养不良、营养性缺铁性贫血、维生素D缺乏性佝偻病、超重/肥胖等常见营养性疾病的发生。</w:t>
      </w:r>
    </w:p>
    <w:p w:rsidR="00110865" w:rsidRDefault="00943B26">
      <w:pPr>
        <w:pStyle w:val="afffffffffff2"/>
      </w:pPr>
      <w:r>
        <w:rPr>
          <w:rFonts w:hint="eastAsia"/>
        </w:rPr>
        <w:t>体格生长：告知定期测量儿童体重、身长（身高）、头围的重要性，反馈测评结果，指导家长正确使用儿童生长发育监测图进行生长发育监测。</w:t>
      </w:r>
    </w:p>
    <w:p w:rsidR="00110865" w:rsidRDefault="00110865">
      <w:pPr>
        <w:pStyle w:val="afffffd"/>
        <w:ind w:firstLine="420"/>
      </w:pPr>
    </w:p>
    <w:p w:rsidR="00110865" w:rsidRDefault="00110865">
      <w:pPr>
        <w:pStyle w:val="afffffd"/>
        <w:ind w:firstLine="420"/>
      </w:pPr>
    </w:p>
    <w:p w:rsidR="00110865" w:rsidRDefault="00110865">
      <w:pPr>
        <w:pStyle w:val="afffffffff6"/>
        <w:numPr>
          <w:ilvl w:val="0"/>
          <w:numId w:val="0"/>
        </w:numPr>
        <w:sectPr w:rsidR="00110865">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110865" w:rsidRDefault="00110865">
      <w:pPr>
        <w:pStyle w:val="af8"/>
        <w:rPr>
          <w:vanish w:val="0"/>
        </w:rPr>
      </w:pPr>
    </w:p>
    <w:p w:rsidR="00110865" w:rsidRDefault="00110865">
      <w:pPr>
        <w:pStyle w:val="afe"/>
        <w:rPr>
          <w:vanish w:val="0"/>
        </w:rPr>
      </w:pPr>
    </w:p>
    <w:p w:rsidR="00110865" w:rsidRDefault="00943B26">
      <w:pPr>
        <w:pStyle w:val="aff3"/>
        <w:spacing w:after="120"/>
      </w:pPr>
      <w:r>
        <w:br/>
      </w:r>
      <w:bookmarkStart w:id="113" w:name="_Toc224931456"/>
      <w:bookmarkStart w:id="114" w:name="_Toc224931565"/>
      <w:bookmarkStart w:id="115" w:name="_Toc224929962"/>
      <w:r>
        <w:rPr>
          <w:rFonts w:hint="eastAsia"/>
        </w:rPr>
        <w:t>（资料性）</w:t>
      </w:r>
      <w:r>
        <w:br/>
      </w:r>
      <w:r>
        <w:rPr>
          <w:rFonts w:hint="eastAsia"/>
        </w:rPr>
        <w:t>儿童心理行为发育问题预警征象</w:t>
      </w:r>
      <w:bookmarkEnd w:id="113"/>
      <w:bookmarkEnd w:id="114"/>
      <w:bookmarkEnd w:id="115"/>
    </w:p>
    <w:p w:rsidR="00110865" w:rsidRDefault="00943B26">
      <w:pPr>
        <w:pStyle w:val="afffffd"/>
        <w:ind w:firstLine="420"/>
        <w:rPr>
          <w:rFonts w:hAnsi="宋体" w:cs="宋体"/>
          <w:color w:val="000000" w:themeColor="text1"/>
          <w:szCs w:val="21"/>
        </w:rPr>
      </w:pPr>
      <w:bookmarkStart w:id="116" w:name="OLE_LINK2"/>
      <w:r>
        <w:rPr>
          <w:rFonts w:hAnsi="宋体" w:cs="宋体" w:hint="eastAsia"/>
          <w:color w:val="000000" w:themeColor="text1"/>
          <w:szCs w:val="21"/>
        </w:rPr>
        <w:t>儿童心理行为发育问题预警征象</w:t>
      </w:r>
      <w:bookmarkEnd w:id="116"/>
      <w:r>
        <w:rPr>
          <w:rFonts w:hAnsi="宋体" w:cs="宋体" w:hint="eastAsia"/>
          <w:color w:val="000000" w:themeColor="text1"/>
          <w:szCs w:val="21"/>
        </w:rPr>
        <w:t>见表B</w:t>
      </w:r>
      <w:r>
        <w:rPr>
          <w:rFonts w:hAnsi="宋体" w:cs="宋体"/>
          <w:color w:val="000000" w:themeColor="text1"/>
          <w:szCs w:val="21"/>
        </w:rPr>
        <w:t>.1</w:t>
      </w:r>
      <w:r>
        <w:rPr>
          <w:rFonts w:hAnsi="宋体" w:cs="宋体" w:hint="eastAsia"/>
          <w:color w:val="000000" w:themeColor="text1"/>
          <w:szCs w:val="21"/>
        </w:rPr>
        <w:t>。</w:t>
      </w:r>
    </w:p>
    <w:p w:rsidR="00110865" w:rsidRDefault="00943B26">
      <w:pPr>
        <w:pStyle w:val="aff"/>
        <w:spacing w:before="120" w:after="120"/>
      </w:pPr>
      <w:r>
        <w:rPr>
          <w:rFonts w:hint="eastAsia"/>
        </w:rPr>
        <w:t>儿童心理行为发育问题预警征象</w:t>
      </w:r>
    </w:p>
    <w:tbl>
      <w:tblPr>
        <w:tblW w:w="51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261"/>
        <w:gridCol w:w="420"/>
        <w:gridCol w:w="1120"/>
        <w:gridCol w:w="3050"/>
        <w:gridCol w:w="572"/>
      </w:tblGrid>
      <w:tr w:rsidR="00110865">
        <w:trPr>
          <w:trHeight w:val="227"/>
          <w:jc w:val="center"/>
        </w:trPr>
        <w:tc>
          <w:tcPr>
            <w:tcW w:w="584" w:type="pct"/>
          </w:tcPr>
          <w:p w:rsidR="00110865" w:rsidRDefault="00943B26">
            <w:pPr>
              <w:spacing w:line="240" w:lineRule="auto"/>
              <w:ind w:rightChars="-25" w:right="-53"/>
              <w:jc w:val="center"/>
              <w:rPr>
                <w:rFonts w:ascii="宋体" w:hAnsi="宋体" w:cs="宋体"/>
                <w:sz w:val="18"/>
                <w:szCs w:val="18"/>
              </w:rPr>
            </w:pPr>
            <w:r>
              <w:rPr>
                <w:rFonts w:ascii="宋体" w:hAnsi="宋体" w:cs="宋体" w:hint="eastAsia"/>
                <w:sz w:val="18"/>
                <w:szCs w:val="18"/>
              </w:rPr>
              <w:t>年龄</w:t>
            </w:r>
          </w:p>
        </w:tc>
        <w:tc>
          <w:tcPr>
            <w:tcW w:w="1710" w:type="pct"/>
          </w:tcPr>
          <w:p w:rsidR="00110865" w:rsidRDefault="00943B26">
            <w:pPr>
              <w:spacing w:line="240" w:lineRule="auto"/>
              <w:ind w:rightChars="-25" w:right="-53"/>
              <w:jc w:val="center"/>
              <w:rPr>
                <w:rFonts w:ascii="宋体" w:hAnsi="宋体" w:cs="宋体"/>
                <w:sz w:val="18"/>
                <w:szCs w:val="18"/>
              </w:rPr>
            </w:pPr>
            <w:r>
              <w:rPr>
                <w:rFonts w:ascii="宋体" w:hAnsi="宋体" w:cs="宋体" w:hint="eastAsia"/>
                <w:sz w:val="18"/>
                <w:szCs w:val="18"/>
              </w:rPr>
              <w:t>预警征象</w:t>
            </w:r>
          </w:p>
        </w:tc>
        <w:tc>
          <w:tcPr>
            <w:tcW w:w="220" w:type="pct"/>
          </w:tcPr>
          <w:p w:rsidR="00110865" w:rsidRDefault="00110865">
            <w:pPr>
              <w:spacing w:line="240" w:lineRule="auto"/>
              <w:ind w:rightChars="-25" w:right="-53"/>
              <w:jc w:val="center"/>
              <w:rPr>
                <w:rFonts w:ascii="宋体" w:hAnsi="宋体" w:cs="宋体"/>
                <w:sz w:val="18"/>
                <w:szCs w:val="18"/>
              </w:rPr>
            </w:pPr>
          </w:p>
        </w:tc>
        <w:tc>
          <w:tcPr>
            <w:tcW w:w="587" w:type="pct"/>
          </w:tcPr>
          <w:p w:rsidR="00110865" w:rsidRDefault="00943B26">
            <w:pPr>
              <w:spacing w:line="240" w:lineRule="auto"/>
              <w:ind w:rightChars="-25" w:right="-53"/>
              <w:jc w:val="center"/>
              <w:rPr>
                <w:rFonts w:ascii="宋体" w:hAnsi="宋体" w:cs="宋体"/>
                <w:sz w:val="18"/>
                <w:szCs w:val="18"/>
              </w:rPr>
            </w:pPr>
            <w:r>
              <w:rPr>
                <w:rFonts w:ascii="宋体" w:hAnsi="宋体" w:cs="宋体" w:hint="eastAsia"/>
                <w:sz w:val="18"/>
                <w:szCs w:val="18"/>
              </w:rPr>
              <w:t>年龄</w:t>
            </w:r>
          </w:p>
        </w:tc>
        <w:tc>
          <w:tcPr>
            <w:tcW w:w="1599" w:type="pct"/>
          </w:tcPr>
          <w:p w:rsidR="00110865" w:rsidRDefault="00943B26">
            <w:pPr>
              <w:spacing w:line="240" w:lineRule="auto"/>
              <w:ind w:rightChars="-25" w:right="-53"/>
              <w:jc w:val="center"/>
              <w:rPr>
                <w:rFonts w:ascii="宋体" w:hAnsi="宋体" w:cs="宋体"/>
                <w:sz w:val="18"/>
                <w:szCs w:val="18"/>
              </w:rPr>
            </w:pPr>
            <w:r>
              <w:rPr>
                <w:rFonts w:ascii="宋体" w:hAnsi="宋体" w:cs="宋体" w:hint="eastAsia"/>
                <w:sz w:val="18"/>
                <w:szCs w:val="18"/>
              </w:rPr>
              <w:t>预警征象</w:t>
            </w:r>
          </w:p>
        </w:tc>
        <w:tc>
          <w:tcPr>
            <w:tcW w:w="300" w:type="pct"/>
          </w:tcPr>
          <w:p w:rsidR="00110865" w:rsidRDefault="00110865">
            <w:pPr>
              <w:spacing w:line="240" w:lineRule="auto"/>
              <w:ind w:rightChars="-25" w:right="-53"/>
              <w:jc w:val="center"/>
              <w:rPr>
                <w:rFonts w:ascii="宋体" w:hAnsi="宋体" w:cs="宋体"/>
                <w:sz w:val="18"/>
                <w:szCs w:val="18"/>
              </w:rPr>
            </w:pPr>
          </w:p>
        </w:tc>
      </w:tr>
      <w:tr w:rsidR="00110865">
        <w:trPr>
          <w:jc w:val="center"/>
        </w:trPr>
        <w:tc>
          <w:tcPr>
            <w:tcW w:w="584" w:type="pct"/>
            <w:vAlign w:val="center"/>
          </w:tcPr>
          <w:p w:rsidR="00110865" w:rsidRDefault="00943B26">
            <w:pPr>
              <w:spacing w:line="240" w:lineRule="auto"/>
              <w:ind w:firstLineChars="50" w:firstLine="90"/>
              <w:rPr>
                <w:rFonts w:ascii="宋体" w:hAnsi="宋体" w:cs="宋体"/>
                <w:sz w:val="18"/>
                <w:szCs w:val="18"/>
              </w:rPr>
            </w:pPr>
            <w:r>
              <w:rPr>
                <w:rFonts w:ascii="宋体" w:hAnsi="宋体" w:cs="宋体" w:hint="eastAsia"/>
                <w:sz w:val="18"/>
                <w:szCs w:val="18"/>
              </w:rPr>
              <w:t>3月龄</w:t>
            </w:r>
          </w:p>
        </w:tc>
        <w:tc>
          <w:tcPr>
            <w:tcW w:w="1710" w:type="pct"/>
          </w:tcPr>
          <w:p w:rsidR="00110865" w:rsidRDefault="00943B26">
            <w:pPr>
              <w:tabs>
                <w:tab w:val="left" w:pos="445"/>
              </w:tabs>
              <w:adjustRightInd/>
              <w:spacing w:line="240" w:lineRule="auto"/>
              <w:ind w:firstLineChars="50" w:firstLine="90"/>
              <w:rPr>
                <w:rFonts w:ascii="宋体" w:hAnsi="宋体" w:cs="宋体"/>
                <w:sz w:val="18"/>
                <w:szCs w:val="18"/>
              </w:rPr>
            </w:pPr>
            <w:r>
              <w:rPr>
                <w:rFonts w:ascii="宋体" w:hAnsi="宋体" w:cs="宋体" w:hint="eastAsia"/>
                <w:sz w:val="18"/>
                <w:szCs w:val="18"/>
              </w:rPr>
              <w:t>对很大声音没有反应</w:t>
            </w:r>
          </w:p>
          <w:p w:rsidR="00110865" w:rsidRDefault="00943B26">
            <w:pPr>
              <w:tabs>
                <w:tab w:val="left" w:pos="445"/>
              </w:tabs>
              <w:adjustRightInd/>
              <w:spacing w:line="240" w:lineRule="auto"/>
              <w:ind w:firstLineChars="50" w:firstLine="90"/>
              <w:rPr>
                <w:rFonts w:ascii="宋体" w:hAnsi="宋体" w:cs="宋体"/>
                <w:sz w:val="18"/>
                <w:szCs w:val="18"/>
              </w:rPr>
            </w:pPr>
            <w:r>
              <w:rPr>
                <w:rFonts w:ascii="宋体" w:hAnsi="宋体" w:cs="宋体" w:hint="eastAsia"/>
                <w:sz w:val="18"/>
                <w:szCs w:val="18"/>
              </w:rPr>
              <w:t>不注视人脸，不追视移动人或物品</w:t>
            </w:r>
          </w:p>
          <w:p w:rsidR="00110865" w:rsidRDefault="00943B26">
            <w:pPr>
              <w:tabs>
                <w:tab w:val="left" w:pos="445"/>
              </w:tabs>
              <w:adjustRightInd/>
              <w:spacing w:line="240" w:lineRule="auto"/>
              <w:ind w:firstLineChars="50" w:firstLine="90"/>
              <w:rPr>
                <w:rFonts w:ascii="宋体" w:hAnsi="宋体" w:cs="宋体"/>
                <w:sz w:val="18"/>
                <w:szCs w:val="18"/>
              </w:rPr>
            </w:pPr>
            <w:r>
              <w:rPr>
                <w:rFonts w:ascii="宋体" w:hAnsi="宋体" w:cs="宋体" w:hint="eastAsia"/>
                <w:sz w:val="18"/>
                <w:szCs w:val="18"/>
              </w:rPr>
              <w:t>逗引时不发音或不会笑</w:t>
            </w:r>
          </w:p>
          <w:p w:rsidR="00110865" w:rsidRDefault="00943B26">
            <w:pPr>
              <w:tabs>
                <w:tab w:val="left" w:pos="445"/>
              </w:tabs>
              <w:adjustRightInd/>
              <w:spacing w:line="240" w:lineRule="auto"/>
              <w:ind w:firstLineChars="50" w:firstLine="90"/>
              <w:rPr>
                <w:rFonts w:ascii="宋体" w:hAnsi="宋体" w:cs="宋体"/>
                <w:sz w:val="18"/>
                <w:szCs w:val="18"/>
              </w:rPr>
            </w:pPr>
            <w:r>
              <w:rPr>
                <w:rFonts w:ascii="宋体" w:hAnsi="宋体" w:cs="宋体" w:hint="eastAsia"/>
                <w:sz w:val="18"/>
                <w:szCs w:val="18"/>
              </w:rPr>
              <w:t>俯卧时不会抬头</w:t>
            </w:r>
          </w:p>
        </w:tc>
        <w:tc>
          <w:tcPr>
            <w:tcW w:w="22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c>
          <w:tcPr>
            <w:tcW w:w="587" w:type="pct"/>
            <w:vAlign w:val="center"/>
          </w:tcPr>
          <w:p w:rsidR="00110865" w:rsidRDefault="00943B26">
            <w:pPr>
              <w:spacing w:line="240" w:lineRule="auto"/>
              <w:rPr>
                <w:rFonts w:ascii="宋体" w:hAnsi="宋体" w:cs="宋体"/>
                <w:sz w:val="18"/>
                <w:szCs w:val="18"/>
              </w:rPr>
            </w:pPr>
            <w:r>
              <w:rPr>
                <w:rFonts w:ascii="宋体" w:hAnsi="宋体" w:cs="宋体" w:hint="eastAsia"/>
                <w:sz w:val="18"/>
                <w:szCs w:val="18"/>
              </w:rPr>
              <w:t>18月龄</w:t>
            </w:r>
          </w:p>
        </w:tc>
        <w:tc>
          <w:tcPr>
            <w:tcW w:w="1599" w:type="pct"/>
          </w:tcPr>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不会有意识叫“爸爸”或“妈妈”</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不会按要求指人或物</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不会独走</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与人无目光对视</w:t>
            </w:r>
          </w:p>
        </w:tc>
        <w:tc>
          <w:tcPr>
            <w:tcW w:w="30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r>
      <w:tr w:rsidR="00110865">
        <w:trPr>
          <w:trHeight w:val="855"/>
          <w:jc w:val="center"/>
        </w:trPr>
        <w:tc>
          <w:tcPr>
            <w:tcW w:w="584" w:type="pct"/>
            <w:vAlign w:val="center"/>
          </w:tcPr>
          <w:p w:rsidR="00110865" w:rsidRDefault="00943B26">
            <w:pPr>
              <w:spacing w:line="240" w:lineRule="auto"/>
              <w:ind w:firstLineChars="50" w:firstLine="90"/>
              <w:rPr>
                <w:rFonts w:ascii="宋体" w:hAnsi="宋体" w:cs="宋体"/>
                <w:sz w:val="18"/>
                <w:szCs w:val="18"/>
              </w:rPr>
            </w:pPr>
            <w:r>
              <w:rPr>
                <w:rFonts w:ascii="宋体" w:hAnsi="宋体" w:cs="宋体" w:hint="eastAsia"/>
                <w:sz w:val="18"/>
                <w:szCs w:val="18"/>
              </w:rPr>
              <w:t>6月龄</w:t>
            </w:r>
          </w:p>
        </w:tc>
        <w:tc>
          <w:tcPr>
            <w:tcW w:w="1710" w:type="pct"/>
          </w:tcPr>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发音少，不会笑出声</w:t>
            </w:r>
          </w:p>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紧握拳不松开</w:t>
            </w:r>
          </w:p>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不会伸手及抓物</w:t>
            </w:r>
          </w:p>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不能扶坐</w:t>
            </w:r>
          </w:p>
        </w:tc>
        <w:tc>
          <w:tcPr>
            <w:tcW w:w="22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c>
          <w:tcPr>
            <w:tcW w:w="587" w:type="pct"/>
            <w:vAlign w:val="center"/>
          </w:tcPr>
          <w:p w:rsidR="00110865" w:rsidRDefault="00943B26">
            <w:pPr>
              <w:spacing w:line="240" w:lineRule="auto"/>
              <w:rPr>
                <w:rFonts w:ascii="宋体" w:hAnsi="宋体" w:cs="宋体"/>
                <w:sz w:val="18"/>
                <w:szCs w:val="18"/>
              </w:rPr>
            </w:pPr>
            <w:r>
              <w:rPr>
                <w:rFonts w:ascii="宋体" w:hAnsi="宋体" w:cs="宋体" w:hint="eastAsia"/>
                <w:sz w:val="18"/>
                <w:szCs w:val="18"/>
              </w:rPr>
              <w:t>2岁</w:t>
            </w:r>
          </w:p>
        </w:tc>
        <w:tc>
          <w:tcPr>
            <w:tcW w:w="1599" w:type="pct"/>
          </w:tcPr>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无有意义的语言</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不会扶栏上楼梯/台阶</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不会跑</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不会用匙吃饭</w:t>
            </w:r>
          </w:p>
        </w:tc>
        <w:tc>
          <w:tcPr>
            <w:tcW w:w="30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r>
      <w:tr w:rsidR="00110865">
        <w:trPr>
          <w:trHeight w:val="310"/>
          <w:jc w:val="center"/>
        </w:trPr>
        <w:tc>
          <w:tcPr>
            <w:tcW w:w="584" w:type="pct"/>
            <w:vAlign w:val="center"/>
          </w:tcPr>
          <w:p w:rsidR="00110865" w:rsidRDefault="00943B26">
            <w:pPr>
              <w:spacing w:line="240" w:lineRule="auto"/>
              <w:ind w:firstLineChars="50" w:firstLine="90"/>
              <w:rPr>
                <w:rFonts w:ascii="宋体" w:hAnsi="宋体" w:cs="宋体"/>
                <w:sz w:val="18"/>
                <w:szCs w:val="18"/>
              </w:rPr>
            </w:pPr>
            <w:r>
              <w:rPr>
                <w:rFonts w:ascii="宋体" w:hAnsi="宋体" w:cs="宋体" w:hint="eastAsia"/>
                <w:sz w:val="18"/>
                <w:szCs w:val="18"/>
              </w:rPr>
              <w:t>8月龄</w:t>
            </w:r>
          </w:p>
        </w:tc>
        <w:tc>
          <w:tcPr>
            <w:tcW w:w="1710" w:type="pct"/>
          </w:tcPr>
          <w:p w:rsidR="00110865" w:rsidRDefault="00943B26">
            <w:pPr>
              <w:tabs>
                <w:tab w:val="left" w:pos="-3"/>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听到声音无应答</w:t>
            </w:r>
          </w:p>
          <w:p w:rsidR="00110865" w:rsidRDefault="00943B26">
            <w:pPr>
              <w:tabs>
                <w:tab w:val="left" w:pos="-3"/>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不会区分生人和熟人</w:t>
            </w:r>
          </w:p>
          <w:p w:rsidR="00110865" w:rsidRDefault="00943B26">
            <w:pPr>
              <w:tabs>
                <w:tab w:val="left" w:pos="-3"/>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不会双手传递玩具</w:t>
            </w:r>
          </w:p>
          <w:p w:rsidR="00110865" w:rsidRDefault="00943B26">
            <w:pPr>
              <w:tabs>
                <w:tab w:val="left" w:pos="-3"/>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不会独坐</w:t>
            </w:r>
          </w:p>
        </w:tc>
        <w:tc>
          <w:tcPr>
            <w:tcW w:w="22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c>
          <w:tcPr>
            <w:tcW w:w="587" w:type="pct"/>
            <w:vAlign w:val="center"/>
          </w:tcPr>
          <w:p w:rsidR="00110865" w:rsidRDefault="00943B26">
            <w:pPr>
              <w:spacing w:line="240" w:lineRule="auto"/>
              <w:rPr>
                <w:rFonts w:ascii="宋体" w:hAnsi="宋体" w:cs="宋体"/>
                <w:sz w:val="18"/>
                <w:szCs w:val="18"/>
              </w:rPr>
            </w:pPr>
            <w:r>
              <w:rPr>
                <w:rFonts w:ascii="宋体" w:hAnsi="宋体" w:cs="宋体" w:hint="eastAsia"/>
                <w:sz w:val="18"/>
                <w:szCs w:val="18"/>
              </w:rPr>
              <w:t>2岁半</w:t>
            </w:r>
          </w:p>
        </w:tc>
        <w:tc>
          <w:tcPr>
            <w:tcW w:w="1599" w:type="pct"/>
          </w:tcPr>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兴趣单一、刻板</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不会说2～3个字的短语</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不会示意大小便</w:t>
            </w:r>
          </w:p>
          <w:p w:rsidR="00110865" w:rsidRDefault="00943B26">
            <w:pPr>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走路经常跌倒</w:t>
            </w:r>
          </w:p>
        </w:tc>
        <w:tc>
          <w:tcPr>
            <w:tcW w:w="30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r>
      <w:tr w:rsidR="00110865">
        <w:trPr>
          <w:trHeight w:val="400"/>
          <w:jc w:val="center"/>
        </w:trPr>
        <w:tc>
          <w:tcPr>
            <w:tcW w:w="584" w:type="pct"/>
            <w:vAlign w:val="center"/>
          </w:tcPr>
          <w:p w:rsidR="00110865" w:rsidRDefault="00943B26">
            <w:pPr>
              <w:spacing w:line="240" w:lineRule="auto"/>
              <w:ind w:firstLineChars="50" w:firstLine="90"/>
              <w:rPr>
                <w:rFonts w:ascii="宋体" w:hAnsi="宋体" w:cs="宋体"/>
                <w:sz w:val="18"/>
                <w:szCs w:val="18"/>
              </w:rPr>
            </w:pPr>
            <w:r>
              <w:rPr>
                <w:rFonts w:ascii="宋体" w:hAnsi="宋体" w:cs="宋体" w:hint="eastAsia"/>
                <w:sz w:val="18"/>
                <w:szCs w:val="18"/>
              </w:rPr>
              <w:t>12月龄</w:t>
            </w:r>
          </w:p>
        </w:tc>
        <w:tc>
          <w:tcPr>
            <w:tcW w:w="1710" w:type="pct"/>
          </w:tcPr>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不会挥手表示“再见”或拍手表示“欢迎”</w:t>
            </w:r>
          </w:p>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呼唤名字无反应</w:t>
            </w:r>
          </w:p>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不会用</w:t>
            </w:r>
            <w:proofErr w:type="gramStart"/>
            <w:r>
              <w:rPr>
                <w:rFonts w:ascii="宋体" w:hAnsi="宋体" w:cs="宋体" w:hint="eastAsia"/>
                <w:sz w:val="18"/>
                <w:szCs w:val="18"/>
              </w:rPr>
              <w:t>拇</w:t>
            </w:r>
            <w:proofErr w:type="gramEnd"/>
            <w:r>
              <w:rPr>
                <w:rFonts w:ascii="宋体" w:hAnsi="宋体" w:cs="宋体" w:hint="eastAsia"/>
                <w:sz w:val="18"/>
                <w:szCs w:val="18"/>
              </w:rPr>
              <w:t>食指对捏小物品</w:t>
            </w:r>
          </w:p>
          <w:p w:rsidR="00110865" w:rsidRDefault="00943B26">
            <w:pPr>
              <w:tabs>
                <w:tab w:val="left" w:pos="42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不会扶物站立</w:t>
            </w:r>
          </w:p>
        </w:tc>
        <w:tc>
          <w:tcPr>
            <w:tcW w:w="22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110865">
            <w:pPr>
              <w:spacing w:line="240" w:lineRule="auto"/>
              <w:ind w:rightChars="-25" w:right="-53"/>
              <w:rPr>
                <w:rFonts w:ascii="宋体" w:hAnsi="宋体" w:cs="宋体"/>
                <w:sz w:val="18"/>
                <w:szCs w:val="18"/>
              </w:rPr>
            </w:pP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c>
          <w:tcPr>
            <w:tcW w:w="587" w:type="pct"/>
            <w:vAlign w:val="center"/>
          </w:tcPr>
          <w:p w:rsidR="00110865" w:rsidRDefault="00943B26">
            <w:pPr>
              <w:spacing w:line="240" w:lineRule="auto"/>
              <w:rPr>
                <w:rFonts w:ascii="宋体" w:hAnsi="宋体" w:cs="宋体"/>
                <w:sz w:val="18"/>
                <w:szCs w:val="18"/>
              </w:rPr>
            </w:pPr>
            <w:r>
              <w:rPr>
                <w:rFonts w:ascii="宋体" w:hAnsi="宋体" w:cs="宋体" w:hint="eastAsia"/>
                <w:sz w:val="18"/>
                <w:szCs w:val="18"/>
              </w:rPr>
              <w:t>3岁</w:t>
            </w:r>
          </w:p>
        </w:tc>
        <w:tc>
          <w:tcPr>
            <w:tcW w:w="1599" w:type="pct"/>
          </w:tcPr>
          <w:p w:rsidR="00110865" w:rsidRDefault="00943B26">
            <w:pPr>
              <w:tabs>
                <w:tab w:val="left" w:pos="0"/>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不会双脚跳</w:t>
            </w:r>
          </w:p>
          <w:p w:rsidR="00110865" w:rsidRDefault="00943B26">
            <w:pPr>
              <w:tabs>
                <w:tab w:val="left" w:pos="0"/>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不会模仿画圆</w:t>
            </w:r>
          </w:p>
          <w:p w:rsidR="00110865" w:rsidRDefault="00943B26">
            <w:pPr>
              <w:tabs>
                <w:tab w:val="left" w:pos="340"/>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不能与其他儿童交流、游戏</w:t>
            </w:r>
          </w:p>
          <w:p w:rsidR="00110865" w:rsidRDefault="00943B26">
            <w:pPr>
              <w:tabs>
                <w:tab w:val="left" w:pos="0"/>
                <w:tab w:val="left" w:pos="840"/>
              </w:tabs>
              <w:adjustRightInd/>
              <w:spacing w:line="240" w:lineRule="auto"/>
              <w:ind w:rightChars="-25" w:right="-53" w:firstLineChars="50" w:firstLine="90"/>
              <w:rPr>
                <w:rFonts w:ascii="宋体" w:hAnsi="宋体" w:cs="宋体"/>
                <w:sz w:val="18"/>
                <w:szCs w:val="18"/>
              </w:rPr>
            </w:pPr>
            <w:r>
              <w:rPr>
                <w:rFonts w:ascii="宋体" w:hAnsi="宋体" w:cs="宋体" w:hint="eastAsia"/>
                <w:sz w:val="18"/>
                <w:szCs w:val="18"/>
              </w:rPr>
              <w:t>不会说自己的名字</w:t>
            </w:r>
          </w:p>
        </w:tc>
        <w:tc>
          <w:tcPr>
            <w:tcW w:w="300" w:type="pct"/>
          </w:tcPr>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p w:rsidR="00110865" w:rsidRDefault="00943B26">
            <w:pPr>
              <w:spacing w:line="240" w:lineRule="auto"/>
              <w:ind w:rightChars="-25" w:right="-53"/>
              <w:rPr>
                <w:rFonts w:ascii="宋体" w:hAnsi="宋体" w:cs="宋体"/>
                <w:sz w:val="18"/>
                <w:szCs w:val="18"/>
              </w:rPr>
            </w:pPr>
            <w:r>
              <w:rPr>
                <w:rFonts w:ascii="宋体" w:hAnsi="宋体" w:cs="宋体" w:hint="eastAsia"/>
                <w:sz w:val="18"/>
                <w:szCs w:val="18"/>
              </w:rPr>
              <w:t>□</w:t>
            </w:r>
          </w:p>
        </w:tc>
      </w:tr>
    </w:tbl>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ffff6"/>
        <w:numPr>
          <w:ilvl w:val="0"/>
          <w:numId w:val="0"/>
        </w:numPr>
        <w:sectPr w:rsidR="00110865">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rsidR="00110865" w:rsidRDefault="00110865">
      <w:pPr>
        <w:pStyle w:val="af8"/>
        <w:rPr>
          <w:vanish w:val="0"/>
        </w:rPr>
      </w:pPr>
    </w:p>
    <w:p w:rsidR="00110865" w:rsidRDefault="00110865">
      <w:pPr>
        <w:pStyle w:val="afe"/>
        <w:rPr>
          <w:vanish w:val="0"/>
        </w:rPr>
      </w:pPr>
    </w:p>
    <w:p w:rsidR="00110865" w:rsidRDefault="00943B26">
      <w:pPr>
        <w:pStyle w:val="aff3"/>
        <w:spacing w:after="120"/>
      </w:pPr>
      <w:r>
        <w:br/>
      </w:r>
      <w:bookmarkStart w:id="117" w:name="_Toc224931457"/>
      <w:bookmarkStart w:id="118" w:name="_Toc224931566"/>
      <w:bookmarkStart w:id="119" w:name="_Toc224929963"/>
      <w:r>
        <w:rPr>
          <w:rFonts w:hint="eastAsia"/>
        </w:rPr>
        <w:t>（资料性）</w:t>
      </w:r>
      <w:r>
        <w:br/>
      </w:r>
      <w:r>
        <w:rPr>
          <w:rFonts w:hint="eastAsia"/>
        </w:rPr>
        <w:t>HIV感染儿童抗病毒治疗方案</w:t>
      </w:r>
      <w:bookmarkEnd w:id="117"/>
      <w:bookmarkEnd w:id="118"/>
      <w:bookmarkEnd w:id="119"/>
    </w:p>
    <w:p w:rsidR="00110865" w:rsidRDefault="00943B26">
      <w:pPr>
        <w:pStyle w:val="afffffd"/>
        <w:ind w:firstLine="420"/>
      </w:pPr>
      <w:r>
        <w:rPr>
          <w:rFonts w:hint="eastAsia"/>
          <w:color w:val="000000" w:themeColor="text1"/>
        </w:rPr>
        <w:t>HIV感染儿童抗病毒治疗方案见表C</w:t>
      </w:r>
      <w:r>
        <w:rPr>
          <w:color w:val="000000" w:themeColor="text1"/>
        </w:rPr>
        <w:t>.1,</w:t>
      </w:r>
      <w:r>
        <w:rPr>
          <w:rFonts w:hint="eastAsia"/>
          <w:color w:val="000000" w:themeColor="text1"/>
        </w:rPr>
        <w:t>现阶段我国儿童常用的HIV抗反转录病毒药物见表C.2。</w:t>
      </w:r>
    </w:p>
    <w:p w:rsidR="00110865" w:rsidRDefault="00943B26">
      <w:pPr>
        <w:pStyle w:val="aff"/>
        <w:spacing w:before="120" w:after="120"/>
      </w:pPr>
      <w:r>
        <w:rPr>
          <w:rFonts w:hint="eastAsia"/>
        </w:rPr>
        <w:t>HIV感染儿童抗病毒治疗方案</w:t>
      </w:r>
    </w:p>
    <w:tbl>
      <w:tblPr>
        <w:tblW w:w="9567" w:type="dxa"/>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1441"/>
        <w:gridCol w:w="1441"/>
        <w:gridCol w:w="2293"/>
        <w:gridCol w:w="4392"/>
      </w:tblGrid>
      <w:tr w:rsidR="00110865">
        <w:trPr>
          <w:trHeight w:val="60"/>
          <w:jc w:val="center"/>
        </w:trPr>
        <w:tc>
          <w:tcPr>
            <w:tcW w:w="1441" w:type="dxa"/>
            <w:tcBorders>
              <w:top w:val="single" w:sz="8" w:space="0" w:color="auto"/>
              <w:bottom w:val="single" w:sz="8" w:space="0" w:color="auto"/>
              <w:right w:val="single" w:sz="4"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年龄</w:t>
            </w:r>
          </w:p>
        </w:tc>
        <w:tc>
          <w:tcPr>
            <w:tcW w:w="1441" w:type="dxa"/>
            <w:tcBorders>
              <w:top w:val="single" w:sz="8" w:space="0" w:color="auto"/>
              <w:left w:val="single" w:sz="4" w:space="0" w:color="auto"/>
              <w:bottom w:val="single" w:sz="8" w:space="0" w:color="auto"/>
              <w:right w:val="single" w:sz="4"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核苷类药物</w:t>
            </w:r>
          </w:p>
        </w:tc>
        <w:tc>
          <w:tcPr>
            <w:tcW w:w="2293" w:type="dxa"/>
            <w:tcBorders>
              <w:top w:val="single" w:sz="8" w:space="0" w:color="auto"/>
              <w:left w:val="single" w:sz="4" w:space="0" w:color="auto"/>
              <w:bottom w:val="single" w:sz="8" w:space="0" w:color="auto"/>
              <w:right w:val="single" w:sz="4"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非核苷类或增强型蛋白酶抑制剂或整合酶抑制剂</w:t>
            </w:r>
          </w:p>
        </w:tc>
        <w:tc>
          <w:tcPr>
            <w:tcW w:w="4392" w:type="dxa"/>
            <w:tcBorders>
              <w:top w:val="single" w:sz="8" w:space="0" w:color="auto"/>
              <w:left w:val="single" w:sz="4" w:space="0" w:color="auto"/>
              <w:bottom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备注</w:t>
            </w:r>
          </w:p>
        </w:tc>
      </w:tr>
      <w:tr w:rsidR="00110865">
        <w:trPr>
          <w:trHeight w:val="497"/>
          <w:jc w:val="center"/>
        </w:trPr>
        <w:tc>
          <w:tcPr>
            <w:tcW w:w="1441" w:type="dxa"/>
            <w:tcBorders>
              <w:top w:val="single" w:sz="8"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从出生至       3岁内儿童</w:t>
            </w:r>
          </w:p>
        </w:tc>
        <w:tc>
          <w:tcPr>
            <w:tcW w:w="1441" w:type="dxa"/>
            <w:tcBorders>
              <w:top w:val="single" w:sz="8" w:space="0" w:color="auto"/>
              <w:bottom w:val="single" w:sz="4" w:space="0" w:color="auto"/>
              <w:right w:val="single" w:sz="4" w:space="0" w:color="auto"/>
            </w:tcBorders>
            <w:vAlign w:val="center"/>
          </w:tcPr>
          <w:p w:rsidR="00110865" w:rsidRDefault="00943B26">
            <w:pPr>
              <w:widowControl/>
              <w:spacing w:line="240" w:lineRule="auto"/>
              <w:ind w:firstLineChars="100" w:firstLine="180"/>
              <w:textAlignment w:val="top"/>
              <w:rPr>
                <w:rFonts w:ascii="宋体" w:hAnsi="宋体" w:cs="宋体"/>
                <w:color w:val="000000" w:themeColor="text1"/>
                <w:sz w:val="18"/>
                <w:szCs w:val="18"/>
              </w:rPr>
            </w:pPr>
            <w:r>
              <w:rPr>
                <w:rFonts w:ascii="宋体" w:hAnsi="宋体" w:cs="宋体"/>
                <w:color w:val="000000" w:themeColor="text1"/>
                <w:kern w:val="0"/>
                <w:sz w:val="18"/>
                <w:szCs w:val="18"/>
                <w:lang w:bidi="ar"/>
              </w:rPr>
              <w:t>ABC</w:t>
            </w:r>
            <w:r>
              <w:rPr>
                <w:rFonts w:ascii="宋体" w:hAnsi="宋体" w:cs="宋体" w:hint="eastAsia"/>
                <w:color w:val="000000" w:themeColor="text1"/>
                <w:kern w:val="0"/>
                <w:sz w:val="18"/>
                <w:szCs w:val="18"/>
                <w:lang w:bidi="ar"/>
              </w:rPr>
              <w:t>（或</w:t>
            </w:r>
            <w:r>
              <w:rPr>
                <w:rFonts w:ascii="宋体" w:hAnsi="宋体" w:cs="宋体"/>
                <w:color w:val="000000" w:themeColor="text1"/>
                <w:kern w:val="0"/>
                <w:sz w:val="18"/>
                <w:szCs w:val="18"/>
                <w:lang w:bidi="ar"/>
              </w:rPr>
              <w:t>AZT</w:t>
            </w:r>
            <w:r>
              <w:rPr>
                <w:rFonts w:ascii="宋体" w:hAnsi="宋体" w:cs="宋体" w:hint="eastAsia"/>
                <w:color w:val="000000" w:themeColor="text1"/>
                <w:kern w:val="0"/>
                <w:sz w:val="18"/>
                <w:szCs w:val="18"/>
                <w:lang w:bidi="ar"/>
              </w:rPr>
              <w:t>）</w:t>
            </w:r>
            <w:r>
              <w:rPr>
                <w:rFonts w:ascii="宋体" w:hAnsi="宋体" w:cs="宋体"/>
                <w:color w:val="000000" w:themeColor="text1"/>
                <w:kern w:val="0"/>
                <w:sz w:val="18"/>
                <w:szCs w:val="18"/>
                <w:lang w:bidi="ar"/>
              </w:rPr>
              <w:t>+3TC</w:t>
            </w:r>
          </w:p>
        </w:tc>
        <w:tc>
          <w:tcPr>
            <w:tcW w:w="2293" w:type="dxa"/>
            <w:tcBorders>
              <w:top w:val="single" w:sz="8" w:space="0" w:color="auto"/>
              <w:left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NVP或</w:t>
            </w:r>
            <w:r>
              <w:rPr>
                <w:rFonts w:ascii="宋体" w:hAnsi="宋体" w:cs="宋体"/>
                <w:color w:val="000000" w:themeColor="text1"/>
                <w:kern w:val="0"/>
                <w:sz w:val="18"/>
                <w:szCs w:val="18"/>
                <w:lang w:bidi="ar"/>
              </w:rPr>
              <w:t>LPV/r</w:t>
            </w:r>
          </w:p>
        </w:tc>
        <w:tc>
          <w:tcPr>
            <w:tcW w:w="4392" w:type="dxa"/>
            <w:vMerge w:val="restart"/>
            <w:tcBorders>
              <w:top w:val="single" w:sz="8" w:space="0" w:color="auto"/>
              <w:left w:val="single" w:sz="4" w:space="0" w:color="auto"/>
              <w:bottom w:val="single" w:sz="4" w:space="0" w:color="auto"/>
            </w:tcBorders>
          </w:tcPr>
          <w:p w:rsidR="00110865" w:rsidRDefault="00943B26">
            <w:pPr>
              <w:widowControl/>
              <w:spacing w:line="240" w:lineRule="auto"/>
              <w:ind w:firstLineChars="50" w:firstLine="90"/>
              <w:textAlignment w:val="top"/>
              <w:rPr>
                <w:rFonts w:ascii="宋体" w:hAnsi="宋体" w:cs="宋体"/>
                <w:color w:val="000000" w:themeColor="text1"/>
                <w:sz w:val="18"/>
                <w:szCs w:val="18"/>
              </w:rPr>
            </w:pPr>
            <w:r>
              <w:rPr>
                <w:rFonts w:ascii="宋体" w:hAnsi="宋体" w:cs="宋体" w:hint="eastAsia"/>
                <w:color w:val="000000" w:themeColor="text1"/>
                <w:kern w:val="0"/>
                <w:sz w:val="18"/>
                <w:szCs w:val="18"/>
                <w:lang w:bidi="ar"/>
              </w:rPr>
              <w:t>未曾暴露于非核苷类反转录酶抑制剂(NNRTI)抗病毒药物的儿童可以使用EFV或NVP或LPV/r；曾暴露于NNRTI抗病毒药物的儿童宜选择LPV/r或INSTI。</w:t>
            </w:r>
          </w:p>
        </w:tc>
      </w:tr>
      <w:tr w:rsidR="00110865">
        <w:trPr>
          <w:trHeight w:val="497"/>
          <w:jc w:val="center"/>
        </w:trPr>
        <w:tc>
          <w:tcPr>
            <w:tcW w:w="1441" w:type="dxa"/>
            <w:tcBorders>
              <w:top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3～12岁</w:t>
            </w:r>
            <w:r>
              <w:rPr>
                <w:rFonts w:ascii="宋体" w:hAnsi="宋体" w:cs="宋体"/>
                <w:color w:val="000000" w:themeColor="text1"/>
                <w:kern w:val="0"/>
                <w:sz w:val="18"/>
                <w:szCs w:val="18"/>
                <w:lang w:bidi="ar"/>
              </w:rPr>
              <w:t>儿童</w:t>
            </w:r>
          </w:p>
        </w:tc>
        <w:tc>
          <w:tcPr>
            <w:tcW w:w="1441" w:type="dxa"/>
            <w:tcBorders>
              <w:top w:val="single" w:sz="4" w:space="0" w:color="auto"/>
              <w:bottom w:val="single" w:sz="4" w:space="0" w:color="auto"/>
              <w:right w:val="single" w:sz="4" w:space="0" w:color="auto"/>
            </w:tcBorders>
            <w:vAlign w:val="center"/>
          </w:tcPr>
          <w:p w:rsidR="00110865" w:rsidRDefault="00943B26">
            <w:pPr>
              <w:widowControl/>
              <w:spacing w:line="240" w:lineRule="auto"/>
              <w:ind w:firstLineChars="100" w:firstLine="180"/>
              <w:textAlignment w:val="top"/>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ABC</w:t>
            </w:r>
            <w:r>
              <w:rPr>
                <w:rFonts w:ascii="宋体" w:hAnsi="宋体" w:cs="宋体" w:hint="eastAsia"/>
                <w:color w:val="000000" w:themeColor="text1"/>
                <w:kern w:val="0"/>
                <w:sz w:val="18"/>
                <w:szCs w:val="18"/>
                <w:lang w:bidi="ar"/>
              </w:rPr>
              <w:t>（或</w:t>
            </w:r>
            <w:r>
              <w:rPr>
                <w:rFonts w:ascii="宋体" w:hAnsi="宋体" w:cs="宋体"/>
                <w:color w:val="000000" w:themeColor="text1"/>
                <w:kern w:val="0"/>
                <w:sz w:val="18"/>
                <w:szCs w:val="18"/>
                <w:lang w:bidi="ar"/>
              </w:rPr>
              <w:t>AZT</w:t>
            </w:r>
            <w:r>
              <w:rPr>
                <w:rFonts w:ascii="宋体" w:hAnsi="宋体" w:cs="宋体" w:hint="eastAsia"/>
                <w:color w:val="000000" w:themeColor="text1"/>
                <w:kern w:val="0"/>
                <w:sz w:val="18"/>
                <w:szCs w:val="18"/>
                <w:lang w:bidi="ar"/>
              </w:rPr>
              <w:t>）</w:t>
            </w:r>
            <w:r>
              <w:rPr>
                <w:rFonts w:ascii="宋体" w:hAnsi="宋体" w:cs="宋体"/>
                <w:color w:val="000000" w:themeColor="text1"/>
                <w:kern w:val="0"/>
                <w:sz w:val="18"/>
                <w:szCs w:val="18"/>
                <w:lang w:bidi="ar"/>
              </w:rPr>
              <w:t>+3TC</w:t>
            </w:r>
          </w:p>
        </w:tc>
        <w:tc>
          <w:tcPr>
            <w:tcW w:w="2293" w:type="dxa"/>
            <w:tcBorders>
              <w:top w:val="single" w:sz="4" w:space="0" w:color="auto"/>
              <w:left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NVP或EFV或</w:t>
            </w:r>
            <w:r>
              <w:rPr>
                <w:rFonts w:ascii="宋体" w:hAnsi="宋体" w:cs="宋体"/>
                <w:color w:val="000000" w:themeColor="text1"/>
                <w:kern w:val="0"/>
                <w:sz w:val="18"/>
                <w:szCs w:val="18"/>
                <w:lang w:bidi="ar"/>
              </w:rPr>
              <w:t>LPV/r</w:t>
            </w:r>
            <w:r>
              <w:rPr>
                <w:rFonts w:ascii="宋体" w:hAnsi="宋体" w:cs="宋体" w:hint="eastAsia"/>
                <w:color w:val="000000" w:themeColor="text1"/>
                <w:kern w:val="0"/>
                <w:sz w:val="18"/>
                <w:szCs w:val="18"/>
                <w:lang w:bidi="ar"/>
              </w:rPr>
              <w:t>或DTG</w:t>
            </w:r>
          </w:p>
        </w:tc>
        <w:tc>
          <w:tcPr>
            <w:tcW w:w="4392" w:type="dxa"/>
            <w:vMerge/>
            <w:tcBorders>
              <w:top w:val="single" w:sz="4" w:space="0" w:color="auto"/>
              <w:left w:val="single" w:sz="4" w:space="0" w:color="auto"/>
              <w:bottom w:val="single" w:sz="4" w:space="0" w:color="auto"/>
            </w:tcBorders>
          </w:tcPr>
          <w:p w:rsidR="00110865" w:rsidRDefault="00110865">
            <w:pPr>
              <w:widowControl/>
              <w:spacing w:line="240" w:lineRule="auto"/>
              <w:ind w:firstLineChars="100" w:firstLine="180"/>
              <w:jc w:val="left"/>
              <w:textAlignment w:val="top"/>
              <w:rPr>
                <w:rFonts w:ascii="宋体" w:hAnsi="宋体" w:cs="宋体"/>
                <w:color w:val="000000" w:themeColor="text1"/>
                <w:kern w:val="0"/>
                <w:sz w:val="18"/>
                <w:szCs w:val="18"/>
                <w:lang w:bidi="ar"/>
              </w:rPr>
            </w:pPr>
          </w:p>
        </w:tc>
      </w:tr>
      <w:tr w:rsidR="00110865">
        <w:trPr>
          <w:trHeight w:val="497"/>
          <w:jc w:val="center"/>
        </w:trPr>
        <w:tc>
          <w:tcPr>
            <w:tcW w:w="1441" w:type="dxa"/>
            <w:tcBorders>
              <w:top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6～12岁</w:t>
            </w:r>
            <w:r>
              <w:rPr>
                <w:rFonts w:ascii="宋体" w:hAnsi="宋体" w:cs="宋体"/>
                <w:color w:val="000000" w:themeColor="text1"/>
                <w:kern w:val="0"/>
                <w:sz w:val="18"/>
                <w:szCs w:val="18"/>
                <w:lang w:bidi="ar"/>
              </w:rPr>
              <w:t>儿童</w:t>
            </w:r>
          </w:p>
        </w:tc>
        <w:tc>
          <w:tcPr>
            <w:tcW w:w="1441" w:type="dxa"/>
            <w:tcBorders>
              <w:top w:val="single" w:sz="4" w:space="0" w:color="auto"/>
              <w:bottom w:val="single" w:sz="4" w:space="0" w:color="auto"/>
              <w:right w:val="single" w:sz="4" w:space="0" w:color="auto"/>
            </w:tcBorders>
            <w:vAlign w:val="center"/>
          </w:tcPr>
          <w:p w:rsidR="00110865" w:rsidRDefault="00943B26">
            <w:pPr>
              <w:widowControl/>
              <w:spacing w:line="240" w:lineRule="auto"/>
              <w:ind w:firstLineChars="100" w:firstLine="180"/>
              <w:textAlignment w:val="top"/>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ABC</w:t>
            </w:r>
            <w:r>
              <w:rPr>
                <w:rFonts w:ascii="宋体" w:hAnsi="宋体" w:cs="宋体" w:hint="eastAsia"/>
                <w:color w:val="000000" w:themeColor="text1"/>
                <w:kern w:val="0"/>
                <w:sz w:val="18"/>
                <w:szCs w:val="18"/>
                <w:lang w:bidi="ar"/>
              </w:rPr>
              <w:t>（或</w:t>
            </w:r>
            <w:r>
              <w:rPr>
                <w:rFonts w:ascii="宋体" w:hAnsi="宋体" w:cs="宋体"/>
                <w:color w:val="000000" w:themeColor="text1"/>
                <w:kern w:val="0"/>
                <w:sz w:val="18"/>
                <w:szCs w:val="18"/>
                <w:lang w:bidi="ar"/>
              </w:rPr>
              <w:t>AZT</w:t>
            </w:r>
            <w:r>
              <w:rPr>
                <w:rFonts w:ascii="宋体" w:hAnsi="宋体" w:cs="宋体" w:hint="eastAsia"/>
                <w:color w:val="000000" w:themeColor="text1"/>
                <w:kern w:val="0"/>
                <w:sz w:val="18"/>
                <w:szCs w:val="18"/>
                <w:lang w:bidi="ar"/>
              </w:rPr>
              <w:t>）</w:t>
            </w:r>
            <w:r>
              <w:rPr>
                <w:rFonts w:ascii="宋体" w:hAnsi="宋体" w:cs="宋体"/>
                <w:color w:val="000000" w:themeColor="text1"/>
                <w:kern w:val="0"/>
                <w:sz w:val="18"/>
                <w:szCs w:val="18"/>
                <w:lang w:bidi="ar"/>
              </w:rPr>
              <w:t>+3TC</w:t>
            </w:r>
          </w:p>
        </w:tc>
        <w:tc>
          <w:tcPr>
            <w:tcW w:w="2293" w:type="dxa"/>
            <w:tcBorders>
              <w:top w:val="single" w:sz="4" w:space="0" w:color="auto"/>
              <w:left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NVP或EFV或</w:t>
            </w:r>
            <w:r>
              <w:rPr>
                <w:rFonts w:ascii="宋体" w:hAnsi="宋体" w:cs="宋体"/>
                <w:color w:val="000000" w:themeColor="text1"/>
                <w:kern w:val="0"/>
                <w:sz w:val="18"/>
                <w:szCs w:val="18"/>
                <w:lang w:bidi="ar"/>
              </w:rPr>
              <w:t>LPV/r</w:t>
            </w:r>
            <w:r>
              <w:rPr>
                <w:rFonts w:ascii="宋体" w:hAnsi="宋体" w:cs="宋体" w:hint="eastAsia"/>
                <w:color w:val="000000" w:themeColor="text1"/>
                <w:kern w:val="0"/>
                <w:sz w:val="18"/>
                <w:szCs w:val="18"/>
                <w:lang w:bidi="ar"/>
              </w:rPr>
              <w:t>或DTG</w:t>
            </w:r>
          </w:p>
        </w:tc>
        <w:tc>
          <w:tcPr>
            <w:tcW w:w="4392" w:type="dxa"/>
            <w:vMerge/>
            <w:tcBorders>
              <w:top w:val="single" w:sz="4" w:space="0" w:color="auto"/>
              <w:left w:val="single" w:sz="4" w:space="0" w:color="auto"/>
              <w:bottom w:val="single" w:sz="4" w:space="0" w:color="auto"/>
            </w:tcBorders>
          </w:tcPr>
          <w:p w:rsidR="00110865" w:rsidRDefault="00110865">
            <w:pPr>
              <w:widowControl/>
              <w:spacing w:line="240" w:lineRule="auto"/>
              <w:ind w:firstLineChars="100" w:firstLine="180"/>
              <w:jc w:val="left"/>
              <w:textAlignment w:val="top"/>
              <w:rPr>
                <w:rFonts w:ascii="宋体" w:hAnsi="宋体" w:cs="宋体"/>
                <w:color w:val="000000" w:themeColor="text1"/>
                <w:kern w:val="0"/>
                <w:sz w:val="18"/>
                <w:szCs w:val="18"/>
                <w:lang w:bidi="ar"/>
              </w:rPr>
            </w:pPr>
          </w:p>
        </w:tc>
      </w:tr>
      <w:tr w:rsidR="00110865">
        <w:trPr>
          <w:trHeight w:val="497"/>
          <w:jc w:val="center"/>
        </w:trPr>
        <w:tc>
          <w:tcPr>
            <w:tcW w:w="1441" w:type="dxa"/>
            <w:vMerge w:val="restart"/>
            <w:tcBorders>
              <w:top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12～18岁</w:t>
            </w:r>
            <w:r>
              <w:rPr>
                <w:rFonts w:ascii="宋体" w:hAnsi="宋体" w:cs="宋体"/>
                <w:color w:val="000000" w:themeColor="text1"/>
                <w:kern w:val="0"/>
                <w:sz w:val="18"/>
                <w:szCs w:val="18"/>
                <w:lang w:bidi="ar"/>
              </w:rPr>
              <w:t>儿童</w:t>
            </w:r>
          </w:p>
        </w:tc>
        <w:tc>
          <w:tcPr>
            <w:tcW w:w="1441" w:type="dxa"/>
            <w:tcBorders>
              <w:top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ABC</w:t>
            </w:r>
            <w:r>
              <w:rPr>
                <w:rFonts w:ascii="宋体" w:hAnsi="宋体" w:cs="宋体" w:hint="eastAsia"/>
                <w:color w:val="000000" w:themeColor="text1"/>
                <w:kern w:val="0"/>
                <w:sz w:val="18"/>
                <w:szCs w:val="18"/>
                <w:lang w:bidi="ar"/>
              </w:rPr>
              <w:t>（或</w:t>
            </w:r>
            <w:r>
              <w:rPr>
                <w:rFonts w:ascii="宋体" w:hAnsi="宋体" w:cs="宋体"/>
                <w:color w:val="000000" w:themeColor="text1"/>
                <w:kern w:val="0"/>
                <w:sz w:val="18"/>
                <w:szCs w:val="18"/>
                <w:lang w:bidi="ar"/>
              </w:rPr>
              <w:t>AZT</w:t>
            </w:r>
            <w:r>
              <w:rPr>
                <w:rFonts w:ascii="宋体" w:hAnsi="宋体" w:cs="宋体" w:hint="eastAsia"/>
                <w:color w:val="000000" w:themeColor="text1"/>
                <w:kern w:val="0"/>
                <w:sz w:val="18"/>
                <w:szCs w:val="18"/>
                <w:lang w:bidi="ar"/>
              </w:rPr>
              <w:t>或TDF或TAF）</w:t>
            </w:r>
            <w:r>
              <w:rPr>
                <w:rFonts w:ascii="宋体" w:hAnsi="宋体" w:cs="宋体"/>
                <w:color w:val="000000" w:themeColor="text1"/>
                <w:kern w:val="0"/>
                <w:sz w:val="18"/>
                <w:szCs w:val="18"/>
                <w:lang w:bidi="ar"/>
              </w:rPr>
              <w:t>+3TC</w:t>
            </w:r>
          </w:p>
        </w:tc>
        <w:tc>
          <w:tcPr>
            <w:tcW w:w="2293" w:type="dxa"/>
            <w:tcBorders>
              <w:top w:val="single" w:sz="4" w:space="0" w:color="auto"/>
              <w:left w:val="single" w:sz="4" w:space="0" w:color="auto"/>
              <w:bottom w:val="single" w:sz="4" w:space="0" w:color="auto"/>
              <w:right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NVP或EFV或</w:t>
            </w:r>
            <w:r>
              <w:rPr>
                <w:rFonts w:ascii="宋体" w:hAnsi="宋体" w:cs="宋体"/>
                <w:color w:val="000000" w:themeColor="text1"/>
                <w:kern w:val="0"/>
                <w:sz w:val="18"/>
                <w:szCs w:val="18"/>
                <w:lang w:bidi="ar"/>
              </w:rPr>
              <w:t>LPV/r</w:t>
            </w:r>
            <w:r>
              <w:rPr>
                <w:rFonts w:ascii="宋体" w:hAnsi="宋体" w:cs="宋体" w:hint="eastAsia"/>
                <w:color w:val="000000" w:themeColor="text1"/>
                <w:kern w:val="0"/>
                <w:sz w:val="18"/>
                <w:szCs w:val="18"/>
                <w:lang w:bidi="ar"/>
              </w:rPr>
              <w:t>或DTG</w:t>
            </w:r>
          </w:p>
        </w:tc>
        <w:tc>
          <w:tcPr>
            <w:tcW w:w="4392" w:type="dxa"/>
            <w:vMerge/>
            <w:tcBorders>
              <w:top w:val="single" w:sz="4" w:space="0" w:color="auto"/>
              <w:left w:val="single" w:sz="4" w:space="0" w:color="auto"/>
              <w:bottom w:val="single" w:sz="4" w:space="0" w:color="auto"/>
            </w:tcBorders>
          </w:tcPr>
          <w:p w:rsidR="00110865" w:rsidRDefault="00110865">
            <w:pPr>
              <w:widowControl/>
              <w:spacing w:line="240" w:lineRule="auto"/>
              <w:ind w:firstLineChars="100" w:firstLine="210"/>
              <w:jc w:val="left"/>
              <w:textAlignment w:val="top"/>
              <w:rPr>
                <w:rFonts w:ascii="Helvetica" w:eastAsia="Helvetica" w:hAnsi="Helvetica" w:cs="Helvetica"/>
                <w:color w:val="000000" w:themeColor="text1"/>
                <w:shd w:val="clear" w:color="auto" w:fill="FFFFFF"/>
              </w:rPr>
            </w:pPr>
          </w:p>
        </w:tc>
      </w:tr>
      <w:tr w:rsidR="00110865">
        <w:trPr>
          <w:trHeight w:val="497"/>
          <w:jc w:val="center"/>
        </w:trPr>
        <w:tc>
          <w:tcPr>
            <w:tcW w:w="1441" w:type="dxa"/>
            <w:vMerge/>
            <w:tcBorders>
              <w:top w:val="single" w:sz="4" w:space="0" w:color="auto"/>
              <w:bottom w:val="single" w:sz="4" w:space="0" w:color="auto"/>
              <w:right w:val="single" w:sz="4" w:space="0" w:color="auto"/>
            </w:tcBorders>
            <w:vAlign w:val="center"/>
          </w:tcPr>
          <w:p w:rsidR="00110865" w:rsidRDefault="00110865">
            <w:pPr>
              <w:widowControl/>
              <w:spacing w:line="240" w:lineRule="auto"/>
              <w:jc w:val="center"/>
              <w:textAlignment w:val="top"/>
              <w:rPr>
                <w:rFonts w:ascii="宋体" w:hAnsi="宋体" w:cs="宋体"/>
                <w:color w:val="000000" w:themeColor="text1"/>
                <w:kern w:val="0"/>
                <w:sz w:val="18"/>
                <w:szCs w:val="18"/>
                <w:lang w:bidi="ar"/>
              </w:rPr>
            </w:pPr>
          </w:p>
        </w:tc>
        <w:tc>
          <w:tcPr>
            <w:tcW w:w="3734" w:type="dxa"/>
            <w:gridSpan w:val="2"/>
            <w:tcBorders>
              <w:top w:val="single" w:sz="4" w:space="0" w:color="auto"/>
              <w:bottom w:val="single" w:sz="4" w:space="0" w:color="auto"/>
              <w:right w:val="single" w:sz="4"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单片复方制剂EVG/c/FTC/TAF</w:t>
            </w:r>
          </w:p>
        </w:tc>
        <w:tc>
          <w:tcPr>
            <w:tcW w:w="4392" w:type="dxa"/>
            <w:vMerge/>
            <w:tcBorders>
              <w:top w:val="single" w:sz="4" w:space="0" w:color="auto"/>
              <w:left w:val="single" w:sz="4" w:space="0" w:color="auto"/>
              <w:bottom w:val="single" w:sz="4" w:space="0" w:color="auto"/>
            </w:tcBorders>
          </w:tcPr>
          <w:p w:rsidR="00110865" w:rsidRDefault="00110865">
            <w:pPr>
              <w:widowControl/>
              <w:spacing w:line="240" w:lineRule="auto"/>
              <w:textAlignment w:val="top"/>
              <w:rPr>
                <w:rFonts w:ascii="Helvetica" w:eastAsia="Helvetica" w:hAnsi="Helvetica" w:cs="Helvetica"/>
                <w:color w:val="000000" w:themeColor="text1"/>
                <w:shd w:val="clear" w:color="auto" w:fill="FFFFFF"/>
              </w:rPr>
            </w:pPr>
          </w:p>
        </w:tc>
      </w:tr>
      <w:tr w:rsidR="00110865">
        <w:trPr>
          <w:trHeight w:val="497"/>
          <w:jc w:val="center"/>
        </w:trPr>
        <w:tc>
          <w:tcPr>
            <w:tcW w:w="9567" w:type="dxa"/>
            <w:gridSpan w:val="4"/>
            <w:tcBorders>
              <w:top w:val="single" w:sz="4" w:space="0" w:color="auto"/>
              <w:bottom w:val="single" w:sz="8" w:space="0" w:color="auto"/>
            </w:tcBorders>
            <w:vAlign w:val="center"/>
          </w:tcPr>
          <w:p w:rsidR="00110865" w:rsidRDefault="00943B26">
            <w:pPr>
              <w:pStyle w:val="a5"/>
              <w:rPr>
                <w:lang w:bidi="ar"/>
              </w:rPr>
            </w:pPr>
            <w:r>
              <w:rPr>
                <w:rFonts w:hint="eastAsia"/>
              </w:rPr>
              <w:t>ABC：8</w:t>
            </w:r>
            <w:bookmarkStart w:id="120" w:name="OLE_LINK13"/>
            <w:r>
              <w:rPr>
                <w:rFonts w:hint="eastAsia"/>
                <w:vertAlign w:val="superscript"/>
              </w:rPr>
              <w:t xml:space="preserve"> </w:t>
            </w:r>
            <w:bookmarkEnd w:id="120"/>
            <w:r>
              <w:rPr>
                <w:rFonts w:hint="eastAsia"/>
              </w:rPr>
              <w:t>mg/kg/次，每日2次（最大不能超过每次300</w:t>
            </w:r>
            <w:r>
              <w:rPr>
                <w:rFonts w:hint="eastAsia"/>
                <w:vertAlign w:val="superscript"/>
              </w:rPr>
              <w:t xml:space="preserve"> </w:t>
            </w:r>
            <w:r>
              <w:rPr>
                <w:rFonts w:hint="eastAsia"/>
              </w:rPr>
              <w:t>mg）。AZT：180</w:t>
            </w:r>
            <w:r>
              <w:rPr>
                <w:rFonts w:hint="eastAsia"/>
                <w:vertAlign w:val="superscript"/>
              </w:rPr>
              <w:t xml:space="preserve"> </w:t>
            </w:r>
            <w:r>
              <w:rPr>
                <w:rFonts w:hint="eastAsia"/>
              </w:rPr>
              <w:t>mg/m</w:t>
            </w:r>
            <w:r>
              <w:rPr>
                <w:rFonts w:hint="eastAsia"/>
                <w:vertAlign w:val="superscript"/>
              </w:rPr>
              <w:t>2</w:t>
            </w:r>
            <w:r>
              <w:rPr>
                <w:rFonts w:hint="eastAsia"/>
              </w:rPr>
              <w:t>/次～240</w:t>
            </w:r>
            <w:bookmarkStart w:id="121" w:name="OLE_LINK14"/>
            <w:r>
              <w:rPr>
                <w:rFonts w:hint="eastAsia"/>
                <w:vertAlign w:val="superscript"/>
              </w:rPr>
              <w:t xml:space="preserve"> </w:t>
            </w:r>
            <w:r>
              <w:rPr>
                <w:rFonts w:hint="eastAsia"/>
              </w:rPr>
              <w:t>mg/m</w:t>
            </w:r>
            <w:r>
              <w:rPr>
                <w:rFonts w:hint="eastAsia"/>
                <w:vertAlign w:val="superscript"/>
              </w:rPr>
              <w:t>2</w:t>
            </w:r>
            <w:r>
              <w:rPr>
                <w:rFonts w:hint="eastAsia"/>
              </w:rPr>
              <w:t>/次</w:t>
            </w:r>
            <w:bookmarkEnd w:id="121"/>
            <w:r>
              <w:rPr>
                <w:rFonts w:hint="eastAsia"/>
              </w:rPr>
              <w:t>，12</w:t>
            </w:r>
            <w:r>
              <w:rPr>
                <w:vertAlign w:val="superscript"/>
              </w:rPr>
              <w:t xml:space="preserve"> </w:t>
            </w:r>
            <w:r>
              <w:rPr>
                <w:rFonts w:hint="eastAsia"/>
              </w:rPr>
              <w:t>h</w:t>
            </w:r>
            <w:r>
              <w:t>/</w:t>
            </w:r>
            <w:r>
              <w:rPr>
                <w:rFonts w:hint="eastAsia"/>
              </w:rPr>
              <w:t>次。3TC：4</w:t>
            </w:r>
            <w:r>
              <w:rPr>
                <w:rFonts w:hint="eastAsia"/>
                <w:vertAlign w:val="superscript"/>
              </w:rPr>
              <w:t xml:space="preserve"> </w:t>
            </w:r>
            <w:r>
              <w:rPr>
                <w:rFonts w:hint="eastAsia"/>
              </w:rPr>
              <w:t>mg/kg次，每日2次。NVP：导入剂量：160</w:t>
            </w:r>
            <w:r>
              <w:rPr>
                <w:rFonts w:hint="eastAsia"/>
                <w:vertAlign w:val="superscript"/>
              </w:rPr>
              <w:t xml:space="preserve"> </w:t>
            </w:r>
            <w:r>
              <w:rPr>
                <w:rFonts w:hint="eastAsia"/>
              </w:rPr>
              <w:t>mg/m</w:t>
            </w:r>
            <w:r>
              <w:rPr>
                <w:rFonts w:hint="eastAsia"/>
                <w:vertAlign w:val="superscript"/>
              </w:rPr>
              <w:t>2</w:t>
            </w:r>
            <w:r>
              <w:rPr>
                <w:rFonts w:hint="eastAsia"/>
              </w:rPr>
              <w:t>/次～200</w:t>
            </w:r>
            <w:r>
              <w:rPr>
                <w:rFonts w:hint="eastAsia"/>
                <w:vertAlign w:val="superscript"/>
              </w:rPr>
              <w:t xml:space="preserve"> </w:t>
            </w:r>
            <w:r>
              <w:rPr>
                <w:rFonts w:hint="eastAsia"/>
              </w:rPr>
              <w:t>mg/m</w:t>
            </w:r>
            <w:r>
              <w:rPr>
                <w:rFonts w:hint="eastAsia"/>
                <w:vertAlign w:val="superscript"/>
              </w:rPr>
              <w:t>2</w:t>
            </w:r>
            <w:r>
              <w:rPr>
                <w:rFonts w:hint="eastAsia"/>
              </w:rPr>
              <w:t>/次，每日1次，连续14日，之后改为维持剂量：160</w:t>
            </w:r>
            <w:r>
              <w:rPr>
                <w:rFonts w:hint="eastAsia"/>
                <w:vertAlign w:val="superscript"/>
              </w:rPr>
              <w:t xml:space="preserve"> </w:t>
            </w:r>
            <w:r>
              <w:rPr>
                <w:rFonts w:hint="eastAsia"/>
              </w:rPr>
              <w:t>mg/m</w:t>
            </w:r>
            <w:r>
              <w:rPr>
                <w:rFonts w:hint="eastAsia"/>
                <w:vertAlign w:val="superscript"/>
              </w:rPr>
              <w:t>2</w:t>
            </w:r>
            <w:r>
              <w:rPr>
                <w:rFonts w:hint="eastAsia"/>
              </w:rPr>
              <w:t>/次～200</w:t>
            </w:r>
            <w:r>
              <w:rPr>
                <w:rFonts w:hint="eastAsia"/>
                <w:vertAlign w:val="superscript"/>
              </w:rPr>
              <w:t xml:space="preserve"> </w:t>
            </w:r>
            <w:r>
              <w:rPr>
                <w:rFonts w:hint="eastAsia"/>
              </w:rPr>
              <w:t>mg/m</w:t>
            </w:r>
            <w:r>
              <w:rPr>
                <w:rFonts w:hint="eastAsia"/>
                <w:vertAlign w:val="superscript"/>
              </w:rPr>
              <w:t>2</w:t>
            </w:r>
            <w:r>
              <w:rPr>
                <w:rFonts w:hint="eastAsia"/>
              </w:rPr>
              <w:t>/次，每日2次。EFV：15</w:t>
            </w:r>
            <w:r>
              <w:rPr>
                <w:rFonts w:hint="eastAsia"/>
                <w:vertAlign w:val="superscript"/>
              </w:rPr>
              <w:t xml:space="preserve"> </w:t>
            </w:r>
            <w:r>
              <w:rPr>
                <w:rFonts w:hint="eastAsia"/>
              </w:rPr>
              <w:t>mg/kg，每日临睡前1次（不适用于体重小于10</w:t>
            </w:r>
            <w:r>
              <w:rPr>
                <w:rFonts w:hAnsi="宋体" w:cs="宋体"/>
                <w:kern w:val="2"/>
                <w:vertAlign w:val="superscript"/>
              </w:rPr>
              <w:t xml:space="preserve"> </w:t>
            </w:r>
            <w:r>
              <w:rPr>
                <w:rFonts w:hAnsi="宋体" w:cs="宋体"/>
                <w:kern w:val="2"/>
              </w:rPr>
              <w:t>kg</w:t>
            </w:r>
            <w:r>
              <w:rPr>
                <w:rFonts w:hint="eastAsia"/>
              </w:rPr>
              <w:t>或年龄小于3岁的儿童剂量）。LPV/r：10</w:t>
            </w:r>
            <w:r>
              <w:rPr>
                <w:vertAlign w:val="superscript"/>
              </w:rPr>
              <w:t xml:space="preserve"> </w:t>
            </w:r>
            <w:r>
              <w:rPr>
                <w:rFonts w:hint="eastAsia"/>
              </w:rPr>
              <w:t>mg/kg/次～16</w:t>
            </w:r>
            <w:r>
              <w:rPr>
                <w:vertAlign w:val="superscript"/>
              </w:rPr>
              <w:t xml:space="preserve"> </w:t>
            </w:r>
            <w:r>
              <w:rPr>
                <w:rFonts w:hint="eastAsia"/>
              </w:rPr>
              <w:t>mg/kg/次，每日2次。TDF或TAF：可用于年龄≥12岁且体重≥35</w:t>
            </w:r>
            <w:r>
              <w:rPr>
                <w:rFonts w:hAnsi="宋体" w:cs="宋体"/>
                <w:kern w:val="2"/>
                <w:vertAlign w:val="superscript"/>
              </w:rPr>
              <w:t xml:space="preserve"> </w:t>
            </w:r>
            <w:r>
              <w:rPr>
                <w:rFonts w:hAnsi="宋体" w:cs="宋体"/>
                <w:kern w:val="2"/>
              </w:rPr>
              <w:t>kg</w:t>
            </w:r>
            <w:r>
              <w:rPr>
                <w:rFonts w:hint="eastAsia"/>
              </w:rPr>
              <w:t>儿童。DTG分散片（5</w:t>
            </w:r>
            <w:r>
              <w:rPr>
                <w:vertAlign w:val="superscript"/>
              </w:rPr>
              <w:t xml:space="preserve"> </w:t>
            </w:r>
            <w:r>
              <w:rPr>
                <w:rFonts w:hint="eastAsia"/>
              </w:rPr>
              <w:t>mg/片）可用于年龄≥4周且体重至少3</w:t>
            </w:r>
            <w:r>
              <w:rPr>
                <w:rFonts w:hAnsi="宋体" w:cs="宋体"/>
                <w:kern w:val="2"/>
                <w:vertAlign w:val="superscript"/>
              </w:rPr>
              <w:t xml:space="preserve"> </w:t>
            </w:r>
            <w:r>
              <w:rPr>
                <w:rFonts w:hAnsi="宋体" w:cs="宋体"/>
                <w:kern w:val="2"/>
              </w:rPr>
              <w:t>kg</w:t>
            </w:r>
            <w:r>
              <w:rPr>
                <w:rFonts w:hint="eastAsia"/>
              </w:rPr>
              <w:t>儿童：3</w:t>
            </w:r>
            <w:r>
              <w:rPr>
                <w:rFonts w:hAnsi="宋体" w:cs="宋体"/>
                <w:kern w:val="2"/>
                <w:vertAlign w:val="superscript"/>
              </w:rPr>
              <w:t xml:space="preserve"> </w:t>
            </w:r>
            <w:r>
              <w:rPr>
                <w:rFonts w:hAnsi="宋体" w:cs="宋体"/>
                <w:kern w:val="2"/>
              </w:rPr>
              <w:t>kg</w:t>
            </w:r>
            <w:r>
              <w:rPr>
                <w:rFonts w:hint="eastAsia"/>
              </w:rPr>
              <w:t>～6</w:t>
            </w:r>
            <w:r>
              <w:rPr>
                <w:rFonts w:hAnsi="宋体" w:cs="宋体"/>
                <w:kern w:val="2"/>
                <w:vertAlign w:val="superscript"/>
              </w:rPr>
              <w:t xml:space="preserve"> </w:t>
            </w:r>
            <w:r>
              <w:rPr>
                <w:rFonts w:hAnsi="宋体" w:cs="宋体"/>
                <w:kern w:val="2"/>
              </w:rPr>
              <w:t>kg</w:t>
            </w:r>
            <w:r>
              <w:rPr>
                <w:rFonts w:hint="eastAsia"/>
              </w:rPr>
              <w:t>,5</w:t>
            </w:r>
            <w:r>
              <w:rPr>
                <w:vertAlign w:val="superscript"/>
              </w:rPr>
              <w:t xml:space="preserve"> </w:t>
            </w:r>
            <w:r>
              <w:rPr>
                <w:rFonts w:hint="eastAsia"/>
              </w:rPr>
              <w:t>mg；6</w:t>
            </w:r>
            <w:r>
              <w:rPr>
                <w:rFonts w:hAnsi="宋体" w:cs="宋体"/>
                <w:kern w:val="2"/>
                <w:vertAlign w:val="superscript"/>
              </w:rPr>
              <w:t xml:space="preserve"> </w:t>
            </w:r>
            <w:r>
              <w:rPr>
                <w:rFonts w:hAnsi="宋体" w:cs="宋体"/>
                <w:kern w:val="2"/>
              </w:rPr>
              <w:t>kg</w:t>
            </w:r>
            <w:r>
              <w:rPr>
                <w:rFonts w:hint="eastAsia"/>
              </w:rPr>
              <w:t>～10</w:t>
            </w:r>
            <w:r>
              <w:rPr>
                <w:rFonts w:hAnsi="宋体" w:cs="宋体"/>
                <w:kern w:val="2"/>
                <w:vertAlign w:val="superscript"/>
              </w:rPr>
              <w:t xml:space="preserve"> </w:t>
            </w:r>
            <w:r>
              <w:rPr>
                <w:rFonts w:hAnsi="宋体" w:cs="宋体"/>
                <w:kern w:val="2"/>
              </w:rPr>
              <w:t>kg</w:t>
            </w:r>
            <w:r>
              <w:rPr>
                <w:rFonts w:hint="eastAsia"/>
              </w:rPr>
              <w:t>,15</w:t>
            </w:r>
            <w:r>
              <w:rPr>
                <w:vertAlign w:val="superscript"/>
              </w:rPr>
              <w:t xml:space="preserve"> </w:t>
            </w:r>
            <w:r>
              <w:rPr>
                <w:rFonts w:hint="eastAsia"/>
              </w:rPr>
              <w:t>mg；10</w:t>
            </w:r>
            <w:r>
              <w:rPr>
                <w:rFonts w:hAnsi="宋体" w:cs="宋体"/>
                <w:kern w:val="2"/>
                <w:vertAlign w:val="superscript"/>
              </w:rPr>
              <w:t xml:space="preserve"> </w:t>
            </w:r>
            <w:r>
              <w:rPr>
                <w:rFonts w:hAnsi="宋体" w:cs="宋体"/>
                <w:kern w:val="2"/>
              </w:rPr>
              <w:t>kg</w:t>
            </w:r>
            <w:r>
              <w:rPr>
                <w:rFonts w:hint="eastAsia"/>
              </w:rPr>
              <w:t>～14</w:t>
            </w:r>
            <w:r>
              <w:rPr>
                <w:rFonts w:hAnsi="宋体" w:cs="宋体"/>
                <w:kern w:val="2"/>
                <w:vertAlign w:val="superscript"/>
              </w:rPr>
              <w:t xml:space="preserve"> </w:t>
            </w:r>
            <w:r>
              <w:rPr>
                <w:rFonts w:hAnsi="宋体" w:cs="宋体"/>
                <w:kern w:val="2"/>
              </w:rPr>
              <w:t>kg</w:t>
            </w:r>
            <w:r>
              <w:rPr>
                <w:rFonts w:hint="eastAsia"/>
              </w:rPr>
              <w:t>，20mg；14</w:t>
            </w:r>
            <w:r>
              <w:rPr>
                <w:rFonts w:hAnsi="宋体" w:cs="宋体"/>
                <w:kern w:val="2"/>
                <w:vertAlign w:val="superscript"/>
              </w:rPr>
              <w:t xml:space="preserve"> </w:t>
            </w:r>
            <w:r>
              <w:rPr>
                <w:rFonts w:hAnsi="宋体" w:cs="宋体"/>
                <w:kern w:val="2"/>
              </w:rPr>
              <w:t>kg</w:t>
            </w:r>
            <w:r>
              <w:rPr>
                <w:rFonts w:hint="eastAsia"/>
              </w:rPr>
              <w:t>～20</w:t>
            </w:r>
            <w:r>
              <w:rPr>
                <w:rFonts w:hAnsi="宋体" w:cs="宋体"/>
                <w:kern w:val="2"/>
                <w:vertAlign w:val="superscript"/>
              </w:rPr>
              <w:t xml:space="preserve"> </w:t>
            </w:r>
            <w:r>
              <w:rPr>
                <w:rFonts w:hAnsi="宋体" w:cs="宋体"/>
                <w:kern w:val="2"/>
              </w:rPr>
              <w:t>kg</w:t>
            </w:r>
            <w:r>
              <w:rPr>
                <w:rFonts w:hint="eastAsia"/>
              </w:rPr>
              <w:t>，25</w:t>
            </w:r>
            <w:r>
              <w:rPr>
                <w:vertAlign w:val="superscript"/>
              </w:rPr>
              <w:t xml:space="preserve"> </w:t>
            </w:r>
            <w:r>
              <w:rPr>
                <w:rFonts w:hint="eastAsia"/>
              </w:rPr>
              <w:t>mg；≥20</w:t>
            </w:r>
            <w:r>
              <w:rPr>
                <w:rFonts w:hAnsi="宋体" w:cs="宋体"/>
                <w:kern w:val="2"/>
                <w:vertAlign w:val="superscript"/>
              </w:rPr>
              <w:t xml:space="preserve"> </w:t>
            </w:r>
            <w:r>
              <w:rPr>
                <w:rFonts w:hAnsi="宋体" w:cs="宋体"/>
                <w:kern w:val="2"/>
              </w:rPr>
              <w:t>kg</w:t>
            </w:r>
            <w:r>
              <w:rPr>
                <w:rFonts w:hint="eastAsia"/>
              </w:rPr>
              <w:t>，30</w:t>
            </w:r>
            <w:r>
              <w:rPr>
                <w:vertAlign w:val="superscript"/>
              </w:rPr>
              <w:t xml:space="preserve"> </w:t>
            </w:r>
            <w:r>
              <w:rPr>
                <w:rFonts w:hint="eastAsia"/>
              </w:rPr>
              <w:t>mg；均为每日1次。DTG（5</w:t>
            </w:r>
            <w:r>
              <w:rPr>
                <w:vertAlign w:val="superscript"/>
              </w:rPr>
              <w:t xml:space="preserve"> </w:t>
            </w:r>
            <w:r>
              <w:rPr>
                <w:rFonts w:hint="eastAsia"/>
              </w:rPr>
              <w:t>mg）：可用于年龄≥4周且体重至少3</w:t>
            </w:r>
            <w:r>
              <w:rPr>
                <w:rFonts w:hAnsi="宋体" w:cs="宋体"/>
                <w:kern w:val="2"/>
                <w:vertAlign w:val="superscript"/>
              </w:rPr>
              <w:t xml:space="preserve"> </w:t>
            </w:r>
            <w:r>
              <w:rPr>
                <w:rFonts w:hAnsi="宋体" w:cs="宋体"/>
                <w:kern w:val="2"/>
              </w:rPr>
              <w:t>kg</w:t>
            </w:r>
            <w:r>
              <w:rPr>
                <w:rFonts w:hint="eastAsia"/>
              </w:rPr>
              <w:t>儿童。DTG薄膜衣片（10</w:t>
            </w:r>
            <w:r>
              <w:rPr>
                <w:vertAlign w:val="superscript"/>
              </w:rPr>
              <w:t xml:space="preserve"> </w:t>
            </w:r>
            <w:r>
              <w:rPr>
                <w:rFonts w:hint="eastAsia"/>
              </w:rPr>
              <w:t>mg/片、25</w:t>
            </w:r>
            <w:r>
              <w:rPr>
                <w:vertAlign w:val="superscript"/>
              </w:rPr>
              <w:t xml:space="preserve"> </w:t>
            </w:r>
            <w:r>
              <w:rPr>
                <w:rFonts w:hint="eastAsia"/>
              </w:rPr>
              <w:t>mg/片）：可用于年龄≥6岁且体质量≥14</w:t>
            </w:r>
            <w:r>
              <w:rPr>
                <w:rFonts w:hAnsi="宋体" w:cs="宋体"/>
                <w:kern w:val="2"/>
                <w:vertAlign w:val="superscript"/>
              </w:rPr>
              <w:t xml:space="preserve"> </w:t>
            </w:r>
            <w:r>
              <w:rPr>
                <w:rFonts w:hAnsi="宋体" w:cs="宋体"/>
                <w:kern w:val="2"/>
              </w:rPr>
              <w:t>kg</w:t>
            </w:r>
            <w:r>
              <w:rPr>
                <w:rFonts w:hint="eastAsia"/>
              </w:rPr>
              <w:t>的儿童：6～12岁且体重14</w:t>
            </w:r>
            <w:r>
              <w:rPr>
                <w:rFonts w:hAnsi="宋体" w:cs="宋体"/>
                <w:kern w:val="2"/>
                <w:vertAlign w:val="superscript"/>
              </w:rPr>
              <w:t xml:space="preserve"> </w:t>
            </w:r>
            <w:r>
              <w:rPr>
                <w:rFonts w:hAnsi="宋体" w:cs="宋体"/>
                <w:kern w:val="2"/>
              </w:rPr>
              <w:t>kg</w:t>
            </w:r>
            <w:r>
              <w:rPr>
                <w:rFonts w:hint="eastAsia"/>
              </w:rPr>
              <w:t>～20</w:t>
            </w:r>
            <w:r>
              <w:rPr>
                <w:rFonts w:hAnsi="宋体" w:cs="宋体"/>
                <w:kern w:val="2"/>
                <w:vertAlign w:val="superscript"/>
              </w:rPr>
              <w:t xml:space="preserve"> </w:t>
            </w:r>
            <w:r>
              <w:rPr>
                <w:rFonts w:hAnsi="宋体" w:cs="宋体"/>
                <w:kern w:val="2"/>
              </w:rPr>
              <w:t>kg</w:t>
            </w:r>
            <w:r>
              <w:rPr>
                <w:rFonts w:hint="eastAsia"/>
              </w:rPr>
              <w:t>，40</w:t>
            </w:r>
            <w:r>
              <w:rPr>
                <w:vertAlign w:val="superscript"/>
              </w:rPr>
              <w:t xml:space="preserve"> </w:t>
            </w:r>
            <w:r>
              <w:rPr>
                <w:rFonts w:hint="eastAsia"/>
              </w:rPr>
              <w:t>mg；</w:t>
            </w:r>
            <w:bookmarkStart w:id="122" w:name="OLE_LINK4"/>
            <w:r>
              <w:rPr>
                <w:rFonts w:hint="eastAsia"/>
              </w:rPr>
              <w:t>年龄≥12岁且体重≥20</w:t>
            </w:r>
            <w:r>
              <w:rPr>
                <w:rFonts w:hAnsi="宋体" w:cs="宋体"/>
                <w:kern w:val="2"/>
                <w:vertAlign w:val="superscript"/>
              </w:rPr>
              <w:t xml:space="preserve"> </w:t>
            </w:r>
            <w:r>
              <w:rPr>
                <w:rFonts w:hAnsi="宋体" w:cs="宋体"/>
                <w:kern w:val="2"/>
              </w:rPr>
              <w:t>kg</w:t>
            </w:r>
            <w:bookmarkEnd w:id="122"/>
            <w:r>
              <w:rPr>
                <w:rFonts w:hAnsi="宋体" w:cs="宋体" w:hint="eastAsia"/>
                <w:kern w:val="2"/>
              </w:rPr>
              <w:t>的儿童</w:t>
            </w:r>
            <w:r>
              <w:rPr>
                <w:rFonts w:hint="eastAsia"/>
              </w:rPr>
              <w:t>，50</w:t>
            </w:r>
            <w:r>
              <w:rPr>
                <w:vertAlign w:val="superscript"/>
              </w:rPr>
              <w:t xml:space="preserve"> </w:t>
            </w:r>
            <w:r>
              <w:rPr>
                <w:rFonts w:hint="eastAsia"/>
              </w:rPr>
              <w:t>mg；均为每日1次。DTG片剂（50</w:t>
            </w:r>
            <w:r>
              <w:rPr>
                <w:vertAlign w:val="superscript"/>
              </w:rPr>
              <w:t xml:space="preserve"> </w:t>
            </w:r>
            <w:r>
              <w:rPr>
                <w:rFonts w:hint="eastAsia"/>
              </w:rPr>
              <w:t>mg/片）：可用于年龄≥12岁且体重</w:t>
            </w:r>
            <w:r w:rsidRPr="00B96CA5">
              <w:rPr>
                <w:rFonts w:hint="eastAsia"/>
              </w:rPr>
              <w:t>≥20</w:t>
            </w:r>
            <w:r w:rsidR="00B96CA5" w:rsidRPr="00B96CA5">
              <w:rPr>
                <w:vertAlign w:val="superscript"/>
              </w:rPr>
              <w:t xml:space="preserve"> </w:t>
            </w:r>
            <w:r w:rsidRPr="00B96CA5">
              <w:rPr>
                <w:rFonts w:hAnsi="宋体" w:cs="宋体"/>
                <w:kern w:val="2"/>
              </w:rPr>
              <w:t>kg</w:t>
            </w:r>
            <w:r w:rsidRPr="00B96CA5">
              <w:rPr>
                <w:rFonts w:hint="eastAsia"/>
              </w:rPr>
              <w:t>的儿</w:t>
            </w:r>
            <w:r>
              <w:rPr>
                <w:rFonts w:hint="eastAsia"/>
              </w:rPr>
              <w:t>童，50</w:t>
            </w:r>
            <w:r>
              <w:rPr>
                <w:vertAlign w:val="superscript"/>
              </w:rPr>
              <w:t xml:space="preserve"> </w:t>
            </w:r>
            <w:r>
              <w:rPr>
                <w:rFonts w:hint="eastAsia"/>
              </w:rPr>
              <w:t>mg，1次/日。</w:t>
            </w:r>
          </w:p>
          <w:p w:rsidR="00110865" w:rsidRDefault="00943B26">
            <w:pPr>
              <w:pStyle w:val="a5"/>
              <w:rPr>
                <w:rFonts w:hAnsi="宋体" w:cs="宋体"/>
                <w:color w:val="000000" w:themeColor="text1"/>
                <w:lang w:bidi="ar"/>
              </w:rPr>
            </w:pPr>
            <w:r>
              <w:rPr>
                <w:rFonts w:hAnsi="宋体" w:cs="宋体" w:hint="eastAsia"/>
                <w:color w:val="000000" w:themeColor="text1"/>
                <w:lang w:bidi="ar"/>
              </w:rPr>
              <w:t>单片复方制剂：</w:t>
            </w:r>
            <w:hyperlink r:id="rId37" w:tgtFrame="https://baike.baidu.com/item/%E6%8D%B7%E6%89%B6%E5%BA%B7/_blank" w:history="1">
              <w:proofErr w:type="gramStart"/>
              <w:r>
                <w:rPr>
                  <w:rFonts w:hint="eastAsia"/>
                  <w:color w:val="000000" w:themeColor="text1"/>
                </w:rPr>
                <w:t>艾考恩丙替片</w:t>
              </w:r>
              <w:proofErr w:type="gramEnd"/>
            </w:hyperlink>
            <w:r>
              <w:rPr>
                <w:rFonts w:hint="eastAsia"/>
                <w:color w:val="000000" w:themeColor="text1"/>
              </w:rPr>
              <w:t>（</w:t>
            </w:r>
            <w:r>
              <w:rPr>
                <w:rFonts w:hAnsi="宋体" w:cs="宋体" w:hint="eastAsia"/>
                <w:color w:val="000000" w:themeColor="text1"/>
                <w:lang w:bidi="ar"/>
              </w:rPr>
              <w:t>EVG/c/FTC/TAF</w:t>
            </w:r>
            <w:r>
              <w:rPr>
                <w:rFonts w:hint="eastAsia"/>
                <w:color w:val="000000" w:themeColor="text1"/>
              </w:rPr>
              <w:t>）</w:t>
            </w:r>
            <w:r>
              <w:rPr>
                <w:rFonts w:hint="eastAsia"/>
                <w:color w:val="000000" w:themeColor="text1"/>
                <w:lang w:bidi="ar"/>
              </w:rPr>
              <w:t>：</w:t>
            </w:r>
            <w:r>
              <w:rPr>
                <w:rFonts w:hAnsi="宋体" w:cs="宋体" w:hint="eastAsia"/>
                <w:color w:val="000000" w:themeColor="text1"/>
                <w:lang w:bidi="ar"/>
              </w:rPr>
              <w:t>可</w:t>
            </w:r>
            <w:r>
              <w:rPr>
                <w:rFonts w:hint="eastAsia"/>
                <w:color w:val="000000" w:themeColor="text1"/>
              </w:rPr>
              <w:t>用于年龄≥12岁且体重≥35</w:t>
            </w:r>
            <w:r>
              <w:rPr>
                <w:rFonts w:hAnsi="宋体" w:cs="宋体"/>
                <w:kern w:val="2"/>
                <w:vertAlign w:val="superscript"/>
              </w:rPr>
              <w:t xml:space="preserve"> </w:t>
            </w:r>
            <w:r>
              <w:rPr>
                <w:rFonts w:hAnsi="宋体" w:cs="宋体"/>
                <w:kern w:val="2"/>
              </w:rPr>
              <w:t>kg</w:t>
            </w:r>
            <w:r>
              <w:rPr>
                <w:rFonts w:hint="eastAsia"/>
                <w:color w:val="000000" w:themeColor="text1"/>
              </w:rPr>
              <w:t>儿童，随食物服用。</w:t>
            </w:r>
          </w:p>
          <w:p w:rsidR="00110865" w:rsidRDefault="00943B26">
            <w:pPr>
              <w:pStyle w:val="a5"/>
            </w:pPr>
            <w:r>
              <w:rPr>
                <w:rFonts w:hint="eastAsia"/>
              </w:rPr>
              <w:t>体重＜14</w:t>
            </w:r>
            <w:r>
              <w:rPr>
                <w:rFonts w:hAnsi="宋体" w:cs="宋体"/>
                <w:kern w:val="2"/>
                <w:vertAlign w:val="superscript"/>
              </w:rPr>
              <w:t xml:space="preserve"> </w:t>
            </w:r>
            <w:r>
              <w:rPr>
                <w:rFonts w:hAnsi="宋体" w:cs="宋体"/>
                <w:kern w:val="2"/>
              </w:rPr>
              <w:t>kg</w:t>
            </w:r>
            <w:r>
              <w:rPr>
                <w:rFonts w:hint="eastAsia"/>
              </w:rPr>
              <w:t>以下儿童抗病毒治疗药物以口服液剂型为主；体重≥14</w:t>
            </w:r>
            <w:r>
              <w:rPr>
                <w:rFonts w:hAnsi="宋体" w:cs="宋体"/>
                <w:kern w:val="2"/>
                <w:vertAlign w:val="superscript"/>
              </w:rPr>
              <w:t xml:space="preserve"> </w:t>
            </w:r>
            <w:r>
              <w:rPr>
                <w:rFonts w:hAnsi="宋体" w:cs="宋体"/>
                <w:kern w:val="2"/>
              </w:rPr>
              <w:t>kg</w:t>
            </w:r>
            <w:r>
              <w:rPr>
                <w:rFonts w:hint="eastAsia"/>
              </w:rPr>
              <w:t>以上儿童抗病毒治疗药物可根据体重转化为片剂剂型。国家免费艾滋病抗病毒药物的使用，参照《国家免费艾滋病抗病毒药物治疗手册（第五版）》附录十“儿童抗病毒治疗用药体重剂量表”</w:t>
            </w:r>
            <w:r>
              <w:rPr>
                <w:rFonts w:hAnsi="宋体" w:cs="宋体" w:hint="eastAsia"/>
                <w:kern w:val="2"/>
              </w:rPr>
              <w:t>；如无特殊说明，30</w:t>
            </w:r>
            <w:r>
              <w:rPr>
                <w:rFonts w:hAnsi="宋体" w:cs="宋体"/>
                <w:kern w:val="2"/>
                <w:vertAlign w:val="superscript"/>
              </w:rPr>
              <w:t xml:space="preserve"> </w:t>
            </w:r>
            <w:r>
              <w:rPr>
                <w:rFonts w:hAnsi="宋体" w:cs="宋体"/>
                <w:kern w:val="2"/>
              </w:rPr>
              <w:t>kg</w:t>
            </w:r>
            <w:r>
              <w:rPr>
                <w:rFonts w:hAnsi="宋体" w:cs="宋体" w:hint="eastAsia"/>
                <w:kern w:val="2"/>
              </w:rPr>
              <w:t>以上儿童用量同成人。</w:t>
            </w:r>
          </w:p>
        </w:tc>
      </w:tr>
    </w:tbl>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110865">
      <w:pPr>
        <w:pStyle w:val="afffffd"/>
        <w:ind w:firstLine="420"/>
      </w:pPr>
    </w:p>
    <w:p w:rsidR="00110865" w:rsidRDefault="00943B26">
      <w:pPr>
        <w:pStyle w:val="aff"/>
        <w:spacing w:before="120" w:after="120"/>
      </w:pPr>
      <w:r>
        <w:rPr>
          <w:rFonts w:hint="eastAsia"/>
        </w:rPr>
        <w:lastRenderedPageBreak/>
        <w:t>现阶段我国儿童常用的HIV抗反转录病毒药物</w:t>
      </w:r>
    </w:p>
    <w:tbl>
      <w:tblPr>
        <w:tblStyle w:val="a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2"/>
        <w:gridCol w:w="973"/>
        <w:gridCol w:w="1180"/>
        <w:gridCol w:w="1373"/>
        <w:gridCol w:w="1533"/>
        <w:gridCol w:w="2904"/>
        <w:gridCol w:w="959"/>
      </w:tblGrid>
      <w:tr w:rsidR="00110865">
        <w:trPr>
          <w:tblHeader/>
          <w:jc w:val="center"/>
        </w:trPr>
        <w:tc>
          <w:tcPr>
            <w:tcW w:w="412"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序号</w:t>
            </w:r>
          </w:p>
        </w:tc>
        <w:tc>
          <w:tcPr>
            <w:tcW w:w="973"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药物名称</w:t>
            </w:r>
          </w:p>
        </w:tc>
        <w:tc>
          <w:tcPr>
            <w:tcW w:w="1180"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缩写</w:t>
            </w:r>
          </w:p>
        </w:tc>
        <w:tc>
          <w:tcPr>
            <w:tcW w:w="1373"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类别</w:t>
            </w:r>
          </w:p>
        </w:tc>
        <w:tc>
          <w:tcPr>
            <w:tcW w:w="1533"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剂型</w:t>
            </w:r>
          </w:p>
        </w:tc>
        <w:tc>
          <w:tcPr>
            <w:tcW w:w="2904"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用法用量</w:t>
            </w:r>
          </w:p>
        </w:tc>
        <w:tc>
          <w:tcPr>
            <w:tcW w:w="959"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免费/自费</w:t>
            </w:r>
          </w:p>
        </w:tc>
      </w:tr>
      <w:tr w:rsidR="00110865">
        <w:trPr>
          <w:jc w:val="center"/>
        </w:trPr>
        <w:tc>
          <w:tcPr>
            <w:tcW w:w="412" w:type="dxa"/>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w:t>
            </w:r>
          </w:p>
        </w:tc>
        <w:tc>
          <w:tcPr>
            <w:tcW w:w="973" w:type="dxa"/>
            <w:tcBorders>
              <w:top w:val="single" w:sz="8" w:space="0" w:color="auto"/>
            </w:tcBorders>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齐多夫</w:t>
            </w:r>
            <w:proofErr w:type="gramEnd"/>
            <w:r>
              <w:rPr>
                <w:rFonts w:ascii="宋体" w:hAnsi="宋体" w:cs="宋体" w:hint="eastAsia"/>
                <w:color w:val="000000" w:themeColor="text1"/>
                <w:kern w:val="0"/>
                <w:sz w:val="18"/>
                <w:szCs w:val="18"/>
                <w:lang w:bidi="ar"/>
              </w:rPr>
              <w:t>定</w:t>
            </w:r>
          </w:p>
        </w:tc>
        <w:tc>
          <w:tcPr>
            <w:tcW w:w="1180" w:type="dxa"/>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AZT</w:t>
            </w:r>
          </w:p>
        </w:tc>
        <w:tc>
          <w:tcPr>
            <w:tcW w:w="1373" w:type="dxa"/>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w:t>
            </w:r>
          </w:p>
        </w:tc>
        <w:tc>
          <w:tcPr>
            <w:tcW w:w="1533" w:type="dxa"/>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l0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mg/ml口服液、</w:t>
            </w:r>
            <w:r>
              <w:rPr>
                <w:rFonts w:ascii="宋体" w:hAnsi="宋体" w:cs="宋体" w:hint="eastAsia"/>
                <w:color w:val="000000" w:themeColor="text1"/>
                <w:kern w:val="0"/>
                <w:sz w:val="18"/>
                <w:szCs w:val="18"/>
                <w:lang w:bidi="ar"/>
              </w:rPr>
              <w:br/>
              <w:t>l00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tcBorders>
              <w:top w:val="single" w:sz="8" w:space="0" w:color="auto"/>
            </w:tcBorders>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180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mg/m²/次～240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mg/m²/次，每日2次；成人及体重≥30</w:t>
            </w:r>
            <w:bookmarkStart w:id="123" w:name="OLE_LINK15"/>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bookmarkEnd w:id="123"/>
            <w:r>
              <w:rPr>
                <w:rFonts w:ascii="宋体" w:hAnsi="宋体" w:cs="宋体" w:hint="eastAsia"/>
                <w:color w:val="000000" w:themeColor="text1"/>
                <w:kern w:val="0"/>
                <w:sz w:val="18"/>
                <w:szCs w:val="18"/>
                <w:lang w:bidi="ar"/>
              </w:rPr>
              <w:t>g的儿童：300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mg，2次/日</w:t>
            </w:r>
          </w:p>
        </w:tc>
        <w:tc>
          <w:tcPr>
            <w:tcW w:w="959" w:type="dxa"/>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阿巴卡韦</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ABC</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mg/ml口服液、300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片剂</w:t>
            </w:r>
          </w:p>
        </w:tc>
        <w:tc>
          <w:tcPr>
            <w:tcW w:w="2904"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8</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 /次，每日2次；成人及体重≥25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3</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拉米夫定</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3TC</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l0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mg/ml口服液、</w:t>
            </w:r>
            <w:r>
              <w:rPr>
                <w:rFonts w:ascii="宋体" w:hAnsi="宋体" w:cs="宋体" w:hint="eastAsia"/>
                <w:color w:val="000000" w:themeColor="text1"/>
                <w:kern w:val="0"/>
                <w:sz w:val="18"/>
                <w:szCs w:val="18"/>
                <w:lang w:bidi="ar"/>
              </w:rPr>
              <w:br/>
              <w:t>150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r>
              <w:rPr>
                <w:rFonts w:ascii="宋体" w:hAnsi="宋体" w:cs="宋体" w:hint="eastAsia"/>
                <w:color w:val="000000" w:themeColor="text1"/>
                <w:kern w:val="0"/>
                <w:sz w:val="18"/>
                <w:szCs w:val="18"/>
                <w:lang w:bidi="ar"/>
              </w:rPr>
              <w:br/>
              <w:t xml:space="preserve"> 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4</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 /次，每日2次；成人及体重≥25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mg，1次/日或150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4</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替诺福韦</w:t>
            </w:r>
            <w:proofErr w:type="gramEnd"/>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TDF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可用于年龄≥12岁且体重≥35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g儿童,300mg,1次/日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奈韦拉平</w:t>
            </w:r>
            <w:proofErr w:type="gramEnd"/>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NVP</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非核苷类反转录酶抑制剂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l0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mg/ml口服液、200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导人剂量：160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mg/m²/次～200</w:t>
            </w:r>
            <w:r>
              <w:rPr>
                <w:rFonts w:ascii="宋体" w:hAnsi="宋体" w:cs="宋体"/>
                <w:color w:val="000000" w:themeColor="text1"/>
                <w:kern w:val="0"/>
                <w:sz w:val="18"/>
                <w:szCs w:val="18"/>
                <w:lang w:bidi="ar"/>
              </w:rPr>
              <w:t xml:space="preserve"> </w:t>
            </w:r>
            <w:r>
              <w:rPr>
                <w:rFonts w:ascii="宋体" w:hAnsi="宋体" w:cs="宋体" w:hint="eastAsia"/>
                <w:color w:val="000000" w:themeColor="text1"/>
                <w:kern w:val="0"/>
                <w:sz w:val="18"/>
                <w:szCs w:val="18"/>
                <w:lang w:bidi="ar"/>
              </w:rPr>
              <w:t>mg/m²/次，1次/日，共14日；维持剂量：160～200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mg/m²/次，2次/日；</w:t>
            </w:r>
          </w:p>
          <w:p w:rsidR="00110865" w:rsidRDefault="00943B26">
            <w:pPr>
              <w:widowControl/>
              <w:spacing w:line="240" w:lineRule="auto"/>
              <w:ind w:firstLineChars="100" w:firstLine="18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成人及体重≥30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w:t>
            </w:r>
            <w:bookmarkStart w:id="124" w:name="OLE_LINK17"/>
            <w:r>
              <w:rPr>
                <w:rFonts w:ascii="宋体" w:hAnsi="宋体" w:cs="宋体" w:hint="eastAsia"/>
                <w:color w:val="000000" w:themeColor="text1"/>
                <w:kern w:val="0"/>
                <w:sz w:val="18"/>
                <w:szCs w:val="18"/>
                <w:lang w:bidi="ar"/>
              </w:rPr>
              <w:t>儿童导人剂量</w:t>
            </w:r>
            <w:bookmarkEnd w:id="124"/>
            <w:r>
              <w:rPr>
                <w:rFonts w:ascii="宋体" w:hAnsi="宋体" w:cs="宋体" w:hint="eastAsia"/>
                <w:color w:val="000000" w:themeColor="text1"/>
                <w:kern w:val="0"/>
                <w:sz w:val="18"/>
                <w:szCs w:val="18"/>
                <w:lang w:bidi="ar"/>
              </w:rPr>
              <w:t>：200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mg，1次/日，共14日；维持剂量：200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6</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依非韦伦</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EFV</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非核苷类反转录酶抑制剂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可用于＞3岁儿童，每次剂量根据体重进行调整，1次/日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7</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洛匹那韦/</w:t>
            </w:r>
            <w:proofErr w:type="gramEnd"/>
            <w:r>
              <w:rPr>
                <w:rFonts w:ascii="宋体" w:hAnsi="宋体" w:cs="宋体" w:hint="eastAsia"/>
                <w:color w:val="000000" w:themeColor="text1"/>
                <w:kern w:val="0"/>
                <w:sz w:val="18"/>
                <w:szCs w:val="18"/>
                <w:lang w:bidi="ar"/>
              </w:rPr>
              <w:t xml:space="preserve"> 利托那韦</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LPV/r</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蛋白酶抑制剂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80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LPV/20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RTV口服液、l00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LPV/25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RTV片剂、200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LPV/50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RTV片剂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10～16</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g/次，2次/日；</w:t>
            </w:r>
          </w:p>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成人及体重≥40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g或体表面积大于1.4</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w:t>
            </w:r>
            <w:r>
              <w:rPr>
                <w:rFonts w:ascii="宋体" w:hAnsi="宋体" w:cs="宋体" w:hint="eastAsia"/>
                <w:color w:val="000000" w:themeColor="text1"/>
                <w:kern w:val="0"/>
                <w:sz w:val="18"/>
                <w:szCs w:val="18"/>
                <w:vertAlign w:val="superscript"/>
                <w:lang w:bidi="ar"/>
              </w:rPr>
              <w:t>2</w:t>
            </w:r>
            <w:r>
              <w:rPr>
                <w:rFonts w:ascii="宋体" w:hAnsi="宋体" w:cs="宋体" w:hint="eastAsia"/>
                <w:color w:val="000000" w:themeColor="text1"/>
                <w:kern w:val="0"/>
                <w:sz w:val="18"/>
                <w:szCs w:val="18"/>
                <w:lang w:bidi="ar"/>
              </w:rPr>
              <w:t>的儿童：500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8</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齐多夫</w:t>
            </w:r>
            <w:proofErr w:type="gramEnd"/>
            <w:r>
              <w:rPr>
                <w:rFonts w:ascii="宋体" w:hAnsi="宋体" w:cs="宋体" w:hint="eastAsia"/>
                <w:color w:val="000000" w:themeColor="text1"/>
                <w:kern w:val="0"/>
                <w:sz w:val="18"/>
                <w:szCs w:val="18"/>
                <w:lang w:bidi="ar"/>
              </w:rPr>
              <w:t>定/拉米夫定</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AZT/3TC</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核苷类反转录酶抑制剂复方制剂</w:t>
            </w:r>
          </w:p>
        </w:tc>
        <w:tc>
          <w:tcPr>
            <w:tcW w:w="1533" w:type="dxa"/>
            <w:vAlign w:val="center"/>
          </w:tcPr>
          <w:p w:rsidR="00110865" w:rsidRDefault="00943B26">
            <w:pPr>
              <w:widowControl/>
              <w:spacing w:line="240" w:lineRule="auto"/>
              <w:ind w:firstLineChars="100" w:firstLine="18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AZT+150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3TC,单片复方片剂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成人及体重≥30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g的儿童：450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mg，2次/日，体重21</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g～30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g的儿童：早半片，晚1片，体重14</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g～21</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g的儿童：每次半片，2次/日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9</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依非韦伦/拉米夫定/</w:t>
            </w:r>
            <w:proofErr w:type="gramStart"/>
            <w:r>
              <w:rPr>
                <w:rFonts w:ascii="宋体" w:hAnsi="宋体" w:cs="宋体" w:hint="eastAsia"/>
                <w:color w:val="000000" w:themeColor="text1"/>
                <w:kern w:val="0"/>
                <w:sz w:val="18"/>
                <w:szCs w:val="18"/>
                <w:lang w:bidi="ar"/>
              </w:rPr>
              <w:t>替诺福韦</w:t>
            </w:r>
            <w:proofErr w:type="gramEnd"/>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EFV/3TC/TDF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核苷类和非核苷类反转录酶抑制剂复方制剂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400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EFV+300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3TC+ 300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TDF,单片复方片剂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可用于体重至少35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g儿童，1000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10</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富马酸丙</w:t>
            </w:r>
            <w:proofErr w:type="gramStart"/>
            <w:r>
              <w:rPr>
                <w:rFonts w:ascii="宋体" w:hAnsi="宋体" w:cs="宋体" w:hint="eastAsia"/>
                <w:color w:val="000000" w:themeColor="text1"/>
                <w:kern w:val="0"/>
                <w:sz w:val="18"/>
                <w:szCs w:val="18"/>
                <w:lang w:bidi="ar"/>
              </w:rPr>
              <w:t>酚替诺福韦</w:t>
            </w:r>
            <w:proofErr w:type="gramEnd"/>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TAF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可用于年龄≥12岁且体重≥35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g儿童,25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11</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多替拉韦</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DTG</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整合酶抑制剂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mg分散片</w:t>
            </w:r>
          </w:p>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mg薄膜衣片</w:t>
            </w:r>
          </w:p>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DTG分散片（5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mg/片）可用于年龄≥4周且体重≥3Kg儿童：3</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g～6</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mg；6</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kg,15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mg；10～14</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kg，20mg；14</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g～20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kg，25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mg；≥20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kg，30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mg；均为每日1次；</w:t>
            </w:r>
          </w:p>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DTG薄膜衣片（10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mg/片）：可用于年龄≥6岁且体重≥14</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kg的儿童：6～12岁且体重14</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g～20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g，40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mg；年龄≥12岁且体重≥20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mg；均为每日1次；</w:t>
            </w:r>
          </w:p>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DTG片剂（50</w:t>
            </w:r>
            <w:r w:rsidRPr="00B96CA5">
              <w:rPr>
                <w:rFonts w:ascii="宋体" w:hAnsi="宋体" w:cs="宋体"/>
                <w:kern w:val="0"/>
                <w:sz w:val="18"/>
                <w:szCs w:val="18"/>
                <w:vertAlign w:val="superscript"/>
                <w:lang w:bidi="ar"/>
              </w:rPr>
              <w:t xml:space="preserve"> </w:t>
            </w:r>
            <w:r w:rsidRPr="00B96CA5">
              <w:rPr>
                <w:rFonts w:ascii="宋体" w:hAnsi="宋体" w:cs="宋体" w:hint="eastAsia"/>
                <w:kern w:val="0"/>
                <w:sz w:val="18"/>
                <w:szCs w:val="18"/>
                <w:lang w:bidi="ar"/>
              </w:rPr>
              <w:t>mg/片）：可用于年龄≥12岁且体重≥20</w:t>
            </w:r>
            <w:r w:rsidRPr="00B96CA5">
              <w:rPr>
                <w:rFonts w:ascii="宋体" w:hAnsi="宋体" w:cs="宋体"/>
                <w:kern w:val="0"/>
                <w:sz w:val="18"/>
                <w:szCs w:val="18"/>
                <w:vertAlign w:val="superscript"/>
                <w:lang w:bidi="ar"/>
              </w:rPr>
              <w:t xml:space="preserve"> </w:t>
            </w:r>
            <w:r w:rsidRPr="00B96CA5">
              <w:rPr>
                <w:rFonts w:ascii="宋体" w:hAnsi="宋体" w:cs="宋体" w:hint="eastAsia"/>
                <w:kern w:val="0"/>
                <w:sz w:val="18"/>
                <w:szCs w:val="18"/>
                <w:lang w:bidi="ar"/>
              </w:rPr>
              <w:t>kg的</w:t>
            </w:r>
            <w:r>
              <w:rPr>
                <w:rFonts w:ascii="宋体" w:hAnsi="宋体" w:cs="宋体" w:hint="eastAsia"/>
                <w:color w:val="000000" w:themeColor="text1"/>
                <w:kern w:val="0"/>
                <w:sz w:val="18"/>
                <w:szCs w:val="18"/>
                <w:lang w:bidi="ar"/>
              </w:rPr>
              <w:t>儿童，50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12</w:t>
            </w:r>
          </w:p>
        </w:tc>
        <w:tc>
          <w:tcPr>
            <w:tcW w:w="9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拉替拉</w:t>
            </w:r>
            <w:proofErr w:type="gramEnd"/>
            <w:r>
              <w:rPr>
                <w:rFonts w:ascii="宋体" w:hAnsi="宋体" w:cs="宋体" w:hint="eastAsia"/>
                <w:color w:val="000000" w:themeColor="text1"/>
                <w:kern w:val="0"/>
                <w:sz w:val="18"/>
                <w:szCs w:val="18"/>
                <w:lang w:bidi="ar"/>
              </w:rPr>
              <w:t>韦</w:t>
            </w:r>
          </w:p>
        </w:tc>
        <w:tc>
          <w:tcPr>
            <w:tcW w:w="1180"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RAL</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整合酶抑制剂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400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可用于年龄＞16岁，体重大于25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kg儿童，400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 xml:space="preserve">mg,2次/日 </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13</w:t>
            </w:r>
          </w:p>
        </w:tc>
        <w:tc>
          <w:tcPr>
            <w:tcW w:w="973"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卡替拉</w:t>
            </w:r>
            <w:proofErr w:type="gramEnd"/>
            <w:r>
              <w:rPr>
                <w:rFonts w:ascii="宋体" w:hAnsi="宋体" w:cs="宋体" w:hint="eastAsia"/>
                <w:color w:val="000000" w:themeColor="text1"/>
                <w:kern w:val="0"/>
                <w:sz w:val="18"/>
                <w:szCs w:val="18"/>
                <w:lang w:bidi="ar"/>
              </w:rPr>
              <w:t>韦</w:t>
            </w:r>
          </w:p>
        </w:tc>
        <w:tc>
          <w:tcPr>
            <w:tcW w:w="1180"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CAB</w:t>
            </w:r>
          </w:p>
        </w:tc>
        <w:tc>
          <w:tcPr>
            <w:tcW w:w="1373"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整合酶抑制剂</w:t>
            </w:r>
          </w:p>
        </w:tc>
        <w:tc>
          <w:tcPr>
            <w:tcW w:w="1533"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30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片剂，2</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ml</w:t>
            </w:r>
            <w:r>
              <w:rPr>
                <w:rFonts w:ascii="宋体" w:hAnsi="宋体" w:cs="宋体"/>
                <w:color w:val="000000" w:themeColor="text1"/>
                <w:kern w:val="0"/>
                <w:sz w:val="18"/>
                <w:szCs w:val="18"/>
                <w:lang w:bidi="ar"/>
              </w:rPr>
              <w:t>:</w:t>
            </w:r>
            <w:r>
              <w:rPr>
                <w:rFonts w:ascii="宋体" w:hAnsi="宋体" w:cs="宋体" w:hint="eastAsia"/>
                <w:color w:val="000000" w:themeColor="text1"/>
                <w:kern w:val="0"/>
                <w:sz w:val="18"/>
                <w:szCs w:val="18"/>
                <w:lang w:bidi="ar"/>
              </w:rPr>
              <w:t>0.4</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g 注射液，3</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ml</w:t>
            </w:r>
            <w:r>
              <w:rPr>
                <w:rFonts w:ascii="宋体" w:hAnsi="宋体" w:cs="宋体"/>
                <w:color w:val="000000" w:themeColor="text1"/>
                <w:kern w:val="0"/>
                <w:sz w:val="18"/>
                <w:szCs w:val="18"/>
                <w:lang w:bidi="ar"/>
              </w:rPr>
              <w:t>:</w:t>
            </w:r>
            <w:r>
              <w:rPr>
                <w:rFonts w:ascii="宋体" w:hAnsi="宋体" w:cs="宋体" w:hint="eastAsia"/>
                <w:color w:val="000000" w:themeColor="text1"/>
                <w:kern w:val="0"/>
                <w:sz w:val="18"/>
                <w:szCs w:val="18"/>
                <w:lang w:bidi="ar"/>
              </w:rPr>
              <w:t>0.6</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g 注射液</w:t>
            </w:r>
          </w:p>
        </w:tc>
        <w:tc>
          <w:tcPr>
            <w:tcW w:w="2904"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可用于12岁及以上儿童（体重≥35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g），须由具备HIV感染管理经验的医师开具处方进行治疗，用法用量详见说明书</w:t>
            </w:r>
          </w:p>
        </w:tc>
        <w:tc>
          <w:tcPr>
            <w:tcW w:w="959" w:type="dxa"/>
            <w:tcBorders>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bl>
    <w:p w:rsidR="00110865" w:rsidRDefault="00943B26">
      <w:r>
        <w:br w:type="page"/>
      </w:r>
    </w:p>
    <w:p w:rsidR="00110865" w:rsidRDefault="00943B26">
      <w:pPr>
        <w:pStyle w:val="afffffd"/>
        <w:pageBreakBefore/>
        <w:spacing w:beforeLines="50" w:before="120" w:afterLines="50" w:after="120"/>
        <w:ind w:firstLineChars="0" w:firstLine="0"/>
        <w:jc w:val="center"/>
        <w:rPr>
          <w:rFonts w:hAnsi="宋体"/>
        </w:rPr>
      </w:pPr>
      <w:r>
        <w:rPr>
          <w:rFonts w:ascii="黑体" w:eastAsia="黑体" w:hAnsi="黑体" w:hint="eastAsia"/>
        </w:rPr>
        <w:lastRenderedPageBreak/>
        <w:t>表C.2  现阶段我国儿童常用的HIV抗反转录病毒药物</w:t>
      </w:r>
      <w:r>
        <w:rPr>
          <w:rFonts w:hAnsi="宋体" w:hint="eastAsia"/>
        </w:rPr>
        <w:t>（续）</w:t>
      </w:r>
    </w:p>
    <w:tbl>
      <w:tblPr>
        <w:tblStyle w:val="a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2"/>
        <w:gridCol w:w="973"/>
        <w:gridCol w:w="1180"/>
        <w:gridCol w:w="1373"/>
        <w:gridCol w:w="1533"/>
        <w:gridCol w:w="2904"/>
        <w:gridCol w:w="959"/>
      </w:tblGrid>
      <w:tr w:rsidR="00110865">
        <w:trPr>
          <w:tblHeader/>
          <w:jc w:val="center"/>
        </w:trPr>
        <w:tc>
          <w:tcPr>
            <w:tcW w:w="412"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序号</w:t>
            </w:r>
          </w:p>
        </w:tc>
        <w:tc>
          <w:tcPr>
            <w:tcW w:w="973"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药物名称</w:t>
            </w:r>
          </w:p>
        </w:tc>
        <w:tc>
          <w:tcPr>
            <w:tcW w:w="1180"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缩写</w:t>
            </w:r>
          </w:p>
        </w:tc>
        <w:tc>
          <w:tcPr>
            <w:tcW w:w="1373"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类别</w:t>
            </w:r>
          </w:p>
        </w:tc>
        <w:tc>
          <w:tcPr>
            <w:tcW w:w="1533"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剂型</w:t>
            </w:r>
          </w:p>
        </w:tc>
        <w:tc>
          <w:tcPr>
            <w:tcW w:w="2904"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用法用量</w:t>
            </w:r>
          </w:p>
        </w:tc>
        <w:tc>
          <w:tcPr>
            <w:tcW w:w="959" w:type="dxa"/>
            <w:tcBorders>
              <w:top w:val="single" w:sz="8" w:space="0" w:color="auto"/>
              <w:bottom w:val="single" w:sz="8" w:space="0" w:color="auto"/>
            </w:tcBorders>
            <w:vAlign w:val="center"/>
          </w:tcPr>
          <w:p w:rsidR="00110865" w:rsidRDefault="00943B26">
            <w:pPr>
              <w:widowControl/>
              <w:spacing w:line="240" w:lineRule="auto"/>
              <w:jc w:val="center"/>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免费/自费</w:t>
            </w:r>
          </w:p>
        </w:tc>
      </w:tr>
      <w:tr w:rsidR="00110865">
        <w:trPr>
          <w:jc w:val="center"/>
        </w:trPr>
        <w:tc>
          <w:tcPr>
            <w:tcW w:w="412" w:type="dxa"/>
            <w:tcBorders>
              <w:top w:val="single" w:sz="4" w:space="0" w:color="auto"/>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14</w:t>
            </w:r>
          </w:p>
        </w:tc>
        <w:tc>
          <w:tcPr>
            <w:tcW w:w="973" w:type="dxa"/>
            <w:tcBorders>
              <w:top w:val="single" w:sz="4" w:space="0" w:color="auto"/>
              <w:bottom w:val="single" w:sz="4" w:space="0" w:color="auto"/>
            </w:tcBorders>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w:t>
            </w:r>
            <w:proofErr w:type="gramStart"/>
            <w:r>
              <w:rPr>
                <w:rFonts w:ascii="宋体" w:hAnsi="宋体" w:cs="宋体" w:hint="eastAsia"/>
                <w:color w:val="000000" w:themeColor="text1"/>
                <w:kern w:val="0"/>
                <w:sz w:val="18"/>
                <w:szCs w:val="18"/>
                <w:lang w:bidi="ar"/>
              </w:rPr>
              <w:t>利匹韦</w:t>
            </w:r>
            <w:proofErr w:type="gramEnd"/>
            <w:r>
              <w:rPr>
                <w:rFonts w:ascii="宋体" w:hAnsi="宋体" w:cs="宋体" w:hint="eastAsia"/>
                <w:color w:val="000000" w:themeColor="text1"/>
                <w:kern w:val="0"/>
                <w:sz w:val="18"/>
                <w:szCs w:val="18"/>
                <w:lang w:bidi="ar"/>
              </w:rPr>
              <w:t>林</w:t>
            </w:r>
          </w:p>
        </w:tc>
        <w:tc>
          <w:tcPr>
            <w:tcW w:w="1180" w:type="dxa"/>
            <w:tcBorders>
              <w:top w:val="single" w:sz="4" w:space="0" w:color="auto"/>
              <w:bottom w:val="single" w:sz="4" w:space="0" w:color="auto"/>
            </w:tcBorders>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RPV</w:t>
            </w:r>
          </w:p>
        </w:tc>
        <w:tc>
          <w:tcPr>
            <w:tcW w:w="1373" w:type="dxa"/>
            <w:tcBorders>
              <w:top w:val="single" w:sz="4" w:space="0" w:color="auto"/>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非核苷类反转录酶抑制剂</w:t>
            </w:r>
          </w:p>
        </w:tc>
        <w:tc>
          <w:tcPr>
            <w:tcW w:w="1533" w:type="dxa"/>
            <w:tcBorders>
              <w:top w:val="single" w:sz="4" w:space="0" w:color="auto"/>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片剂，2</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ml</w:t>
            </w:r>
            <w:r>
              <w:rPr>
                <w:rFonts w:ascii="宋体" w:hAnsi="宋体" w:cs="宋体"/>
                <w:color w:val="000000" w:themeColor="text1"/>
                <w:kern w:val="0"/>
                <w:sz w:val="18"/>
                <w:szCs w:val="18"/>
                <w:lang w:bidi="ar"/>
              </w:rPr>
              <w:t>:</w:t>
            </w:r>
            <w:r>
              <w:rPr>
                <w:rFonts w:ascii="宋体" w:hAnsi="宋体" w:cs="宋体" w:hint="eastAsia"/>
                <w:color w:val="000000" w:themeColor="text1"/>
                <w:kern w:val="0"/>
                <w:sz w:val="18"/>
                <w:szCs w:val="18"/>
                <w:lang w:bidi="ar"/>
              </w:rPr>
              <w:t>0.6</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g 注射液， 3</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ml</w:t>
            </w:r>
            <w:bookmarkStart w:id="125" w:name="OLE_LINK16"/>
            <w:r>
              <w:rPr>
                <w:rFonts w:ascii="宋体" w:hAnsi="宋体" w:cs="宋体"/>
                <w:color w:val="000000" w:themeColor="text1"/>
                <w:kern w:val="0"/>
                <w:sz w:val="18"/>
                <w:szCs w:val="18"/>
                <w:lang w:bidi="ar"/>
              </w:rPr>
              <w:t>:</w:t>
            </w:r>
            <w:bookmarkEnd w:id="125"/>
            <w:r>
              <w:rPr>
                <w:rFonts w:ascii="宋体" w:hAnsi="宋体" w:cs="宋体" w:hint="eastAsia"/>
                <w:color w:val="000000" w:themeColor="text1"/>
                <w:kern w:val="0"/>
                <w:sz w:val="18"/>
                <w:szCs w:val="18"/>
                <w:lang w:bidi="ar"/>
              </w:rPr>
              <w:t>0.9</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g 注射液</w:t>
            </w:r>
          </w:p>
        </w:tc>
        <w:tc>
          <w:tcPr>
            <w:tcW w:w="2904" w:type="dxa"/>
            <w:tcBorders>
              <w:top w:val="single" w:sz="4" w:space="0" w:color="auto"/>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可用于12岁及以上且体重≥35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g的儿童，须由具备HIV感染管理经验的医师开具处方进行治疗，用法用量详见说明书</w:t>
            </w:r>
          </w:p>
        </w:tc>
        <w:tc>
          <w:tcPr>
            <w:tcW w:w="959" w:type="dxa"/>
            <w:tcBorders>
              <w:top w:val="single" w:sz="4" w:space="0" w:color="auto"/>
              <w:bottom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tcBorders>
              <w:top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15</w:t>
            </w:r>
          </w:p>
        </w:tc>
        <w:tc>
          <w:tcPr>
            <w:tcW w:w="973" w:type="dxa"/>
            <w:tcBorders>
              <w:top w:val="single" w:sz="4" w:space="0" w:color="auto"/>
            </w:tcBorders>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阿巴卡韦/拉米夫定/多替拉韦</w:t>
            </w:r>
          </w:p>
        </w:tc>
        <w:tc>
          <w:tcPr>
            <w:tcW w:w="1180" w:type="dxa"/>
            <w:tcBorders>
              <w:top w:val="single" w:sz="4" w:space="0" w:color="auto"/>
            </w:tcBorders>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ABC/3TC/DTG</w:t>
            </w:r>
          </w:p>
        </w:tc>
        <w:tc>
          <w:tcPr>
            <w:tcW w:w="1373" w:type="dxa"/>
            <w:tcBorders>
              <w:top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核苷类反转录酶抑制剂和整合酶抑制剂的复方制剂</w:t>
            </w:r>
          </w:p>
        </w:tc>
        <w:tc>
          <w:tcPr>
            <w:tcW w:w="1533" w:type="dxa"/>
            <w:tcBorders>
              <w:top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600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ABC+300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3TC+50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DTG,单片复方片剂</w:t>
            </w:r>
          </w:p>
        </w:tc>
        <w:tc>
          <w:tcPr>
            <w:tcW w:w="2904" w:type="dxa"/>
            <w:tcBorders>
              <w:top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可用于12岁以上儿童（体重至少为40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g），950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tcBorders>
              <w:top w:val="single" w:sz="4"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16</w:t>
            </w:r>
          </w:p>
        </w:tc>
        <w:tc>
          <w:tcPr>
            <w:tcW w:w="973"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艾维雷韦/考</w:t>
            </w:r>
            <w:proofErr w:type="gramStart"/>
            <w:r>
              <w:rPr>
                <w:rFonts w:ascii="宋体" w:hAnsi="宋体" w:cs="宋体" w:hint="eastAsia"/>
                <w:color w:val="000000" w:themeColor="text1"/>
                <w:kern w:val="0"/>
                <w:sz w:val="18"/>
                <w:szCs w:val="18"/>
                <w:lang w:bidi="ar"/>
              </w:rPr>
              <w:t>比司他/恩曲他滨</w:t>
            </w:r>
            <w:proofErr w:type="gramEnd"/>
            <w:r>
              <w:rPr>
                <w:rFonts w:ascii="宋体" w:hAnsi="宋体" w:cs="宋体" w:hint="eastAsia"/>
                <w:color w:val="000000" w:themeColor="text1"/>
                <w:kern w:val="0"/>
                <w:sz w:val="18"/>
                <w:szCs w:val="18"/>
                <w:lang w:bidi="ar"/>
              </w:rPr>
              <w:t>/丙</w:t>
            </w:r>
            <w:proofErr w:type="gramStart"/>
            <w:r>
              <w:rPr>
                <w:rFonts w:ascii="宋体" w:hAnsi="宋体" w:cs="宋体" w:hint="eastAsia"/>
                <w:color w:val="000000" w:themeColor="text1"/>
                <w:kern w:val="0"/>
                <w:sz w:val="18"/>
                <w:szCs w:val="18"/>
                <w:lang w:bidi="ar"/>
              </w:rPr>
              <w:t>酚替诺福韦</w:t>
            </w:r>
            <w:proofErr w:type="gramEnd"/>
          </w:p>
        </w:tc>
        <w:tc>
          <w:tcPr>
            <w:tcW w:w="1180" w:type="dxa"/>
            <w:vAlign w:val="center"/>
          </w:tcPr>
          <w:p w:rsidR="00110865" w:rsidRDefault="00943B26">
            <w:pPr>
              <w:widowControl/>
              <w:spacing w:line="240" w:lineRule="auto"/>
              <w:ind w:left="90" w:hangingChars="50" w:hanging="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EVG/c/FTC/</w:t>
            </w:r>
          </w:p>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TAF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核苷类反转录酶抑制剂和整合酶抑制剂的复方制剂</w:t>
            </w:r>
          </w:p>
        </w:tc>
        <w:tc>
          <w:tcPr>
            <w:tcW w:w="1533" w:type="dxa"/>
            <w:vAlign w:val="center"/>
          </w:tcPr>
          <w:p w:rsidR="00110865" w:rsidRDefault="00943B26">
            <w:pPr>
              <w:widowControl/>
              <w:spacing w:line="240" w:lineRule="auto"/>
              <w:ind w:firstLineChars="50" w:firstLine="90"/>
              <w:jc w:val="left"/>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mgEVG+150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cobi+200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FTC+10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TAF,单片复方片剂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可用于年龄≥12岁且体重≥35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g儿童，510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17</w:t>
            </w:r>
          </w:p>
        </w:tc>
        <w:tc>
          <w:tcPr>
            <w:tcW w:w="973"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多替拉韦/拉米夫定</w:t>
            </w:r>
          </w:p>
        </w:tc>
        <w:tc>
          <w:tcPr>
            <w:tcW w:w="1180"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DTG/3TC</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核苷类反转录酶抑制剂和整合酶抑制剂的复方制剂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DTG+300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3TC,单片复方片剂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可用于12岁以上且体重≥40</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g的儿童，350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18</w:t>
            </w:r>
          </w:p>
        </w:tc>
        <w:tc>
          <w:tcPr>
            <w:tcW w:w="973"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w:t>
            </w:r>
            <w:proofErr w:type="gramStart"/>
            <w:r>
              <w:rPr>
                <w:rFonts w:ascii="宋体" w:hAnsi="宋体" w:cs="宋体" w:hint="eastAsia"/>
                <w:color w:val="000000" w:themeColor="text1"/>
                <w:kern w:val="0"/>
                <w:sz w:val="18"/>
                <w:szCs w:val="18"/>
                <w:lang w:bidi="ar"/>
              </w:rPr>
              <w:t>恩曲他滨替诺福韦</w:t>
            </w:r>
            <w:proofErr w:type="gramEnd"/>
          </w:p>
        </w:tc>
        <w:tc>
          <w:tcPr>
            <w:tcW w:w="1180"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FTC/TDF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核苷类反转录酶抑制剂复方制剂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FTC+300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TDF,单片复方片剂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可用于年龄≥12岁且体重≥35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g的儿童,500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19</w:t>
            </w:r>
          </w:p>
        </w:tc>
        <w:tc>
          <w:tcPr>
            <w:tcW w:w="973"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w:t>
            </w:r>
            <w:proofErr w:type="gramStart"/>
            <w:r>
              <w:rPr>
                <w:rFonts w:ascii="宋体" w:hAnsi="宋体" w:cs="宋体" w:hint="eastAsia"/>
                <w:color w:val="000000" w:themeColor="text1"/>
                <w:kern w:val="0"/>
                <w:sz w:val="18"/>
                <w:szCs w:val="18"/>
                <w:lang w:bidi="ar"/>
              </w:rPr>
              <w:t>恩曲他滨丙酚替诺福韦(</w:t>
            </w:r>
            <w:proofErr w:type="gramEnd"/>
            <w:r>
              <w:rPr>
                <w:rFonts w:ascii="宋体" w:hAnsi="宋体" w:cs="宋体" w:hint="eastAsia"/>
                <w:color w:val="000000" w:themeColor="text1"/>
                <w:kern w:val="0"/>
                <w:sz w:val="18"/>
                <w:szCs w:val="18"/>
                <w:lang w:bidi="ar"/>
              </w:rPr>
              <w:t>Ⅱ）</w:t>
            </w:r>
          </w:p>
        </w:tc>
        <w:tc>
          <w:tcPr>
            <w:tcW w:w="1180"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FTC/TAF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核苷类反转录酶抑制剂复方制剂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FTC+25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TAF,单片复方片剂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可用于年龄≥12岁且体重≥35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g的儿童,225</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自费</w:t>
            </w:r>
          </w:p>
        </w:tc>
      </w:tr>
      <w:tr w:rsidR="00110865">
        <w:trPr>
          <w:jc w:val="center"/>
        </w:trPr>
        <w:tc>
          <w:tcPr>
            <w:tcW w:w="412"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20</w:t>
            </w:r>
          </w:p>
        </w:tc>
        <w:tc>
          <w:tcPr>
            <w:tcW w:w="973"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w:t>
            </w:r>
            <w:proofErr w:type="gramStart"/>
            <w:r>
              <w:rPr>
                <w:rFonts w:ascii="宋体" w:hAnsi="宋体" w:cs="宋体" w:hint="eastAsia"/>
                <w:color w:val="000000" w:themeColor="text1"/>
                <w:kern w:val="0"/>
                <w:sz w:val="18"/>
                <w:szCs w:val="18"/>
                <w:lang w:bidi="ar"/>
              </w:rPr>
              <w:t>恩曲他滨丙酚替诺福韦(</w:t>
            </w:r>
            <w:proofErr w:type="gramEnd"/>
            <w:r>
              <w:rPr>
                <w:rFonts w:ascii="宋体" w:hAnsi="宋体" w:cs="宋体" w:hint="eastAsia"/>
                <w:color w:val="000000" w:themeColor="text1"/>
                <w:kern w:val="0"/>
                <w:sz w:val="18"/>
                <w:szCs w:val="18"/>
                <w:lang w:bidi="ar"/>
              </w:rPr>
              <w:t>Ⅰ）</w:t>
            </w:r>
          </w:p>
        </w:tc>
        <w:tc>
          <w:tcPr>
            <w:tcW w:w="1180" w:type="dxa"/>
            <w:vAlign w:val="center"/>
          </w:tcPr>
          <w:p w:rsidR="00110865" w:rsidRDefault="00943B26">
            <w:pPr>
              <w:widowControl/>
              <w:spacing w:line="240" w:lineRule="auto"/>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 xml:space="preserve"> FTC/TAF</w:t>
            </w:r>
          </w:p>
        </w:tc>
        <w:tc>
          <w:tcPr>
            <w:tcW w:w="137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核苷类反转录酶抑制剂复方制剂</w:t>
            </w:r>
          </w:p>
        </w:tc>
        <w:tc>
          <w:tcPr>
            <w:tcW w:w="1533"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200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FTC+10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 TAF,单片复方片剂</w:t>
            </w:r>
          </w:p>
        </w:tc>
        <w:tc>
          <w:tcPr>
            <w:tcW w:w="2904"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可用于年龄≥12岁且体重≥35</w:t>
            </w:r>
            <w:r>
              <w:rPr>
                <w:rFonts w:ascii="宋体" w:hAnsi="宋体" w:cs="宋体"/>
                <w:color w:val="000000" w:themeColor="text1"/>
                <w:kern w:val="0"/>
                <w:sz w:val="18"/>
                <w:szCs w:val="18"/>
                <w:vertAlign w:val="superscript"/>
                <w:lang w:bidi="ar"/>
              </w:rPr>
              <w:t xml:space="preserve"> </w:t>
            </w: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g的儿童,210</w:t>
            </w:r>
            <w:r>
              <w:rPr>
                <w:rFonts w:ascii="宋体" w:hAnsi="宋体" w:cs="宋体"/>
                <w:color w:val="000000" w:themeColor="text1"/>
                <w:kern w:val="0"/>
                <w:sz w:val="18"/>
                <w:szCs w:val="18"/>
                <w:vertAlign w:val="superscript"/>
                <w:lang w:bidi="ar"/>
              </w:rPr>
              <w:t xml:space="preserve"> </w:t>
            </w:r>
            <w:r>
              <w:rPr>
                <w:rFonts w:ascii="宋体" w:hAnsi="宋体" w:cs="宋体" w:hint="eastAsia"/>
                <w:color w:val="000000" w:themeColor="text1"/>
                <w:kern w:val="0"/>
                <w:sz w:val="18"/>
                <w:szCs w:val="18"/>
                <w:lang w:bidi="ar"/>
              </w:rPr>
              <w:t>mg，1次/日</w:t>
            </w:r>
          </w:p>
        </w:tc>
        <w:tc>
          <w:tcPr>
            <w:tcW w:w="959" w:type="dxa"/>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bookmarkStart w:id="126" w:name="OLE_LINK18"/>
            <w:r>
              <w:rPr>
                <w:rFonts w:ascii="宋体" w:hAnsi="宋体" w:cs="宋体" w:hint="eastAsia"/>
                <w:color w:val="000000" w:themeColor="text1"/>
                <w:kern w:val="0"/>
                <w:sz w:val="18"/>
                <w:szCs w:val="18"/>
                <w:lang w:bidi="ar"/>
              </w:rPr>
              <w:t>自费</w:t>
            </w:r>
            <w:bookmarkEnd w:id="126"/>
          </w:p>
        </w:tc>
      </w:tr>
    </w:tbl>
    <w:p w:rsidR="00110865" w:rsidRDefault="00110865">
      <w:pPr>
        <w:pStyle w:val="afffffd"/>
        <w:ind w:firstLineChars="0" w:firstLine="0"/>
      </w:pPr>
    </w:p>
    <w:p w:rsidR="00110865" w:rsidRDefault="00943B26">
      <w:pPr>
        <w:pStyle w:val="a5"/>
        <w:numPr>
          <w:ilvl w:val="0"/>
          <w:numId w:val="32"/>
        </w:numPr>
      </w:pPr>
      <w:r>
        <w:rPr>
          <w:rFonts w:hint="eastAsia"/>
        </w:rPr>
        <w:t>以上为我国目前HIV感染儿童可获取且常用的抗反转录病毒药物清单，药物信息可能随后续指南更新而调整。</w:t>
      </w:r>
    </w:p>
    <w:p w:rsidR="00110865" w:rsidRDefault="00943B26">
      <w:pPr>
        <w:pStyle w:val="a5"/>
      </w:pPr>
      <w:r>
        <w:rPr>
          <w:rFonts w:hint="eastAsia"/>
        </w:rPr>
        <w:t>国家免费艾滋病抗病毒药物的使用，参照《国家免费艾滋病抗病毒药物治疗手册（第五版）》附录十“儿童抗病毒治疗用药体重剂量表”；如无特殊说明，30 kg以上儿童用量同成人。</w:t>
      </w:r>
    </w:p>
    <w:p w:rsidR="00110865" w:rsidRDefault="00943B26">
      <w:pPr>
        <w:pStyle w:val="a5"/>
      </w:pPr>
      <w:r>
        <w:rPr>
          <w:rFonts w:hint="eastAsia"/>
        </w:rPr>
        <w:t>用药详情请参照药品说明书</w:t>
      </w:r>
    </w:p>
    <w:p w:rsidR="00110865" w:rsidRDefault="00110865">
      <w:pPr>
        <w:pStyle w:val="a5"/>
        <w:sectPr w:rsidR="00110865">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p>
    <w:p w:rsidR="00110865" w:rsidRDefault="00110865">
      <w:pPr>
        <w:pStyle w:val="af8"/>
        <w:rPr>
          <w:vanish w:val="0"/>
        </w:rPr>
      </w:pPr>
    </w:p>
    <w:p w:rsidR="00110865" w:rsidRDefault="00110865">
      <w:pPr>
        <w:pStyle w:val="afe"/>
        <w:rPr>
          <w:vanish w:val="0"/>
        </w:rPr>
      </w:pPr>
    </w:p>
    <w:p w:rsidR="00110865" w:rsidRDefault="00943B26">
      <w:pPr>
        <w:pStyle w:val="aff3"/>
        <w:spacing w:after="120"/>
      </w:pPr>
      <w:r>
        <w:br/>
      </w:r>
      <w:bookmarkStart w:id="127" w:name="_Toc224929964"/>
      <w:bookmarkStart w:id="128" w:name="_Toc224931458"/>
      <w:bookmarkStart w:id="129" w:name="_Toc224931567"/>
      <w:r>
        <w:rPr>
          <w:rFonts w:hint="eastAsia"/>
        </w:rPr>
        <w:t>（资料性）</w:t>
      </w:r>
      <w:r>
        <w:br/>
      </w:r>
      <w:proofErr w:type="gramStart"/>
      <w:r>
        <w:rPr>
          <w:rFonts w:hint="eastAsia"/>
        </w:rPr>
        <w:t>现</w:t>
      </w:r>
      <w:r>
        <w:rPr>
          <w:rFonts w:hint="eastAsia"/>
          <w:color w:val="000000" w:themeColor="text1"/>
        </w:rPr>
        <w:t>抗病毒</w:t>
      </w:r>
      <w:proofErr w:type="gramEnd"/>
      <w:r>
        <w:rPr>
          <w:rFonts w:hint="eastAsia"/>
          <w:color w:val="000000" w:themeColor="text1"/>
        </w:rPr>
        <w:t>治疗随访及检测项目时间表</w:t>
      </w:r>
      <w:bookmarkEnd w:id="127"/>
      <w:bookmarkEnd w:id="128"/>
      <w:bookmarkEnd w:id="129"/>
    </w:p>
    <w:p w:rsidR="00110865" w:rsidRDefault="00943B26">
      <w:pPr>
        <w:pStyle w:val="afffffd"/>
        <w:ind w:firstLine="420"/>
      </w:pPr>
      <w:r>
        <w:rPr>
          <w:rFonts w:hint="eastAsia"/>
          <w:color w:val="000000" w:themeColor="text1"/>
        </w:rPr>
        <w:t>抗病毒治疗随访及检测项目时间表见表D</w:t>
      </w:r>
      <w:r>
        <w:rPr>
          <w:color w:val="000000" w:themeColor="text1"/>
        </w:rPr>
        <w:t>.1</w:t>
      </w:r>
      <w:r>
        <w:rPr>
          <w:rFonts w:hint="eastAsia"/>
          <w:color w:val="000000" w:themeColor="text1"/>
        </w:rPr>
        <w:t>。</w:t>
      </w:r>
    </w:p>
    <w:p w:rsidR="00110865" w:rsidRDefault="00943B26">
      <w:pPr>
        <w:pStyle w:val="aff"/>
        <w:spacing w:before="120" w:after="120"/>
      </w:pPr>
      <w:r>
        <w:rPr>
          <w:rFonts w:hint="eastAsia"/>
        </w:rPr>
        <w:t>抗病毒治疗随访及检测项目时间表</w:t>
      </w:r>
    </w:p>
    <w:tbl>
      <w:tblPr>
        <w:tblW w:w="8610" w:type="dxa"/>
        <w:tblInd w:w="88" w:type="dxa"/>
        <w:tblLook w:val="04A0" w:firstRow="1" w:lastRow="0" w:firstColumn="1" w:lastColumn="0" w:noHBand="0" w:noVBand="1"/>
      </w:tblPr>
      <w:tblGrid>
        <w:gridCol w:w="968"/>
        <w:gridCol w:w="1754"/>
        <w:gridCol w:w="724"/>
        <w:gridCol w:w="731"/>
        <w:gridCol w:w="564"/>
        <w:gridCol w:w="512"/>
        <w:gridCol w:w="523"/>
        <w:gridCol w:w="512"/>
        <w:gridCol w:w="635"/>
        <w:gridCol w:w="635"/>
        <w:gridCol w:w="656"/>
        <w:gridCol w:w="396"/>
      </w:tblGrid>
      <w:tr w:rsidR="00110865">
        <w:trPr>
          <w:trHeight w:val="70"/>
        </w:trPr>
        <w:tc>
          <w:tcPr>
            <w:tcW w:w="2722" w:type="dxa"/>
            <w:gridSpan w:val="2"/>
            <w:vMerge w:val="restart"/>
            <w:tcBorders>
              <w:top w:val="single" w:sz="8" w:space="0" w:color="auto"/>
              <w:left w:val="single" w:sz="8" w:space="0" w:color="auto"/>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内容</w:t>
            </w:r>
          </w:p>
        </w:tc>
        <w:tc>
          <w:tcPr>
            <w:tcW w:w="724"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基线</w:t>
            </w:r>
          </w:p>
        </w:tc>
        <w:tc>
          <w:tcPr>
            <w:tcW w:w="731"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  月</w:t>
            </w:r>
          </w:p>
        </w:tc>
        <w:tc>
          <w:tcPr>
            <w:tcW w:w="564"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512"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523"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512"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635"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635"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656"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c>
          <w:tcPr>
            <w:tcW w:w="396" w:type="dxa"/>
            <w:tcBorders>
              <w:top w:val="single" w:sz="8" w:space="0" w:color="auto"/>
              <w:left w:val="single" w:sz="4" w:space="0" w:color="000000"/>
              <w:bottom w:val="single" w:sz="4" w:space="0" w:color="000000"/>
              <w:right w:val="single" w:sz="8" w:space="0" w:color="auto"/>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月</w:t>
            </w:r>
          </w:p>
        </w:tc>
      </w:tr>
      <w:tr w:rsidR="00110865">
        <w:trPr>
          <w:trHeight w:val="42"/>
        </w:trPr>
        <w:tc>
          <w:tcPr>
            <w:tcW w:w="2722" w:type="dxa"/>
            <w:gridSpan w:val="2"/>
            <w:vMerge/>
            <w:tcBorders>
              <w:top w:val="single" w:sz="4" w:space="0" w:color="000000"/>
              <w:left w:val="single" w:sz="8" w:space="0" w:color="auto"/>
              <w:bottom w:val="single" w:sz="8" w:space="0" w:color="auto"/>
              <w:right w:val="single" w:sz="4" w:space="0" w:color="000000"/>
            </w:tcBorders>
            <w:vAlign w:val="center"/>
          </w:tcPr>
          <w:p w:rsidR="00110865" w:rsidRDefault="00110865">
            <w:pPr>
              <w:spacing w:line="240" w:lineRule="auto"/>
              <w:jc w:val="center"/>
              <w:rPr>
                <w:rFonts w:ascii="宋体" w:hAnsi="宋体" w:cs="宋体"/>
                <w:color w:val="000000" w:themeColor="text1"/>
                <w:sz w:val="18"/>
                <w:szCs w:val="18"/>
              </w:rPr>
            </w:pPr>
          </w:p>
        </w:tc>
        <w:tc>
          <w:tcPr>
            <w:tcW w:w="724"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0 </w:t>
            </w:r>
          </w:p>
        </w:tc>
        <w:tc>
          <w:tcPr>
            <w:tcW w:w="731"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  0.5 </w:t>
            </w:r>
          </w:p>
        </w:tc>
        <w:tc>
          <w:tcPr>
            <w:tcW w:w="564"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1 </w:t>
            </w:r>
          </w:p>
        </w:tc>
        <w:tc>
          <w:tcPr>
            <w:tcW w:w="512"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2 </w:t>
            </w:r>
          </w:p>
        </w:tc>
        <w:tc>
          <w:tcPr>
            <w:tcW w:w="523"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3 </w:t>
            </w:r>
          </w:p>
        </w:tc>
        <w:tc>
          <w:tcPr>
            <w:tcW w:w="512"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6 </w:t>
            </w:r>
          </w:p>
        </w:tc>
        <w:tc>
          <w:tcPr>
            <w:tcW w:w="635"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9 </w:t>
            </w:r>
          </w:p>
        </w:tc>
        <w:tc>
          <w:tcPr>
            <w:tcW w:w="635"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12 </w:t>
            </w:r>
          </w:p>
        </w:tc>
        <w:tc>
          <w:tcPr>
            <w:tcW w:w="656"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15 </w:t>
            </w:r>
          </w:p>
        </w:tc>
        <w:tc>
          <w:tcPr>
            <w:tcW w:w="396" w:type="dxa"/>
            <w:tcBorders>
              <w:top w:val="single" w:sz="4" w:space="0" w:color="000000"/>
              <w:left w:val="single" w:sz="4" w:space="0" w:color="000000"/>
              <w:bottom w:val="single" w:sz="8" w:space="0" w:color="auto"/>
              <w:right w:val="single" w:sz="8" w:space="0" w:color="auto"/>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18 </w:t>
            </w:r>
          </w:p>
        </w:tc>
      </w:tr>
      <w:tr w:rsidR="00110865">
        <w:trPr>
          <w:trHeight w:val="32"/>
        </w:trPr>
        <w:tc>
          <w:tcPr>
            <w:tcW w:w="2722" w:type="dxa"/>
            <w:gridSpan w:val="2"/>
            <w:tcBorders>
              <w:top w:val="single" w:sz="8" w:space="0" w:color="auto"/>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随访时间</w:t>
            </w:r>
          </w:p>
        </w:tc>
        <w:tc>
          <w:tcPr>
            <w:tcW w:w="724"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 xml:space="preserve">  X</w:t>
            </w:r>
          </w:p>
        </w:tc>
        <w:tc>
          <w:tcPr>
            <w:tcW w:w="564"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8" w:space="0" w:color="auto"/>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8" w:space="0" w:color="auto"/>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49"/>
        </w:trPr>
        <w:tc>
          <w:tcPr>
            <w:tcW w:w="8610" w:type="dxa"/>
            <w:gridSpan w:val="12"/>
            <w:tcBorders>
              <w:top w:val="single" w:sz="4" w:space="0" w:color="000000"/>
              <w:left w:val="single" w:sz="8" w:space="0" w:color="auto"/>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检测项目</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体重</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126"/>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身高</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头围</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血常规</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尿常规</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肝</w:t>
            </w:r>
            <w:r>
              <w:rPr>
                <w:rFonts w:ascii="宋体" w:hAnsi="宋体" w:cs="宋体"/>
                <w:color w:val="000000" w:themeColor="text1"/>
                <w:kern w:val="0"/>
                <w:sz w:val="18"/>
                <w:szCs w:val="18"/>
                <w:lang w:bidi="ar"/>
              </w:rPr>
              <w:t>功能</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肾功能</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血糖</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血脂</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943B26">
            <w:pPr>
              <w:spacing w:line="240" w:lineRule="auto"/>
              <w:jc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乙型肝炎病毒血清学标志物</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丙型肝炎抗体检测</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梅毒血清学检测</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HIV基因型耐药检测</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宋体"/>
                <w:color w:val="000000" w:themeColor="text1"/>
                <w:kern w:val="0"/>
                <w:sz w:val="18"/>
                <w:szCs w:val="18"/>
                <w:lang w:bidi="ar"/>
              </w:rPr>
            </w:pP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r>
      <w:tr w:rsidR="00110865">
        <w:trPr>
          <w:trHeight w:val="77"/>
        </w:trPr>
        <w:tc>
          <w:tcPr>
            <w:tcW w:w="2722" w:type="dxa"/>
            <w:gridSpan w:val="2"/>
            <w:vMerge w:val="restart"/>
            <w:tcBorders>
              <w:top w:val="single" w:sz="4" w:space="0" w:color="000000"/>
              <w:left w:val="single" w:sz="8" w:space="0" w:color="auto"/>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CD4</w:t>
            </w:r>
            <w:r>
              <w:rPr>
                <w:rFonts w:ascii="宋体" w:hAnsi="宋体" w:cs="宋体" w:hint="eastAsia"/>
                <w:color w:val="000000" w:themeColor="text1"/>
                <w:kern w:val="0"/>
                <w:sz w:val="18"/>
                <w:szCs w:val="18"/>
                <w:vertAlign w:val="superscript"/>
                <w:lang w:bidi="ar"/>
              </w:rPr>
              <w:t>+</w:t>
            </w:r>
            <w:r>
              <w:rPr>
                <w:rFonts w:ascii="宋体" w:hAnsi="宋体" w:cs="宋体"/>
                <w:color w:val="000000" w:themeColor="text1"/>
                <w:kern w:val="0"/>
                <w:sz w:val="18"/>
                <w:szCs w:val="18"/>
                <w:lang w:bidi="ar"/>
              </w:rPr>
              <w:t>T</w:t>
            </w:r>
            <w:r>
              <w:rPr>
                <w:rFonts w:ascii="宋体" w:hAnsi="宋体" w:cs="宋体" w:hint="eastAsia"/>
                <w:color w:val="000000" w:themeColor="text1"/>
                <w:kern w:val="0"/>
                <w:sz w:val="18"/>
                <w:szCs w:val="18"/>
                <w:lang w:bidi="ar"/>
              </w:rPr>
              <w:t>淋</w:t>
            </w:r>
            <w:r>
              <w:rPr>
                <w:rFonts w:ascii="宋体" w:hAnsi="宋体" w:cs="宋体"/>
                <w:color w:val="000000" w:themeColor="text1"/>
                <w:kern w:val="0"/>
                <w:sz w:val="18"/>
                <w:szCs w:val="18"/>
                <w:lang w:bidi="ar"/>
              </w:rPr>
              <w:t>巴细胞计数</w:t>
            </w:r>
          </w:p>
        </w:tc>
        <w:tc>
          <w:tcPr>
            <w:tcW w:w="724" w:type="dxa"/>
            <w:vMerge w:val="restart"/>
            <w:tcBorders>
              <w:top w:val="single" w:sz="4" w:space="0" w:color="000000"/>
              <w:left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r>
      <w:tr w:rsidR="00110865">
        <w:trPr>
          <w:trHeight w:val="122"/>
        </w:trPr>
        <w:tc>
          <w:tcPr>
            <w:tcW w:w="2722" w:type="dxa"/>
            <w:gridSpan w:val="2"/>
            <w:vMerge/>
            <w:tcBorders>
              <w:left w:val="single" w:sz="8" w:space="0" w:color="auto"/>
              <w:bottom w:val="single" w:sz="4" w:space="0" w:color="000000"/>
              <w:right w:val="single" w:sz="4" w:space="0" w:color="000000"/>
            </w:tcBorders>
            <w:vAlign w:val="center"/>
          </w:tcPr>
          <w:p w:rsidR="00110865" w:rsidRDefault="00110865">
            <w:pPr>
              <w:widowControl/>
              <w:spacing w:line="240" w:lineRule="auto"/>
              <w:jc w:val="left"/>
              <w:textAlignment w:val="center"/>
              <w:rPr>
                <w:rFonts w:ascii="宋体" w:hAnsi="宋体" w:cs="宋体"/>
                <w:color w:val="000000" w:themeColor="text1"/>
                <w:sz w:val="18"/>
                <w:szCs w:val="18"/>
              </w:rPr>
            </w:pPr>
          </w:p>
        </w:tc>
        <w:tc>
          <w:tcPr>
            <w:tcW w:w="724" w:type="dxa"/>
            <w:vMerge/>
            <w:tcBorders>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c>
          <w:tcPr>
            <w:tcW w:w="5164" w:type="dxa"/>
            <w:gridSpan w:val="9"/>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每年至少</w:t>
            </w:r>
            <w:r>
              <w:rPr>
                <w:rFonts w:ascii="宋体" w:hAnsi="宋体" w:cs="宋体" w:hint="eastAsia"/>
                <w:color w:val="000000" w:themeColor="text1"/>
                <w:kern w:val="0"/>
                <w:sz w:val="18"/>
                <w:szCs w:val="18"/>
                <w:lang w:bidi="ar"/>
              </w:rPr>
              <w:t>1</w:t>
            </w:r>
            <w:r>
              <w:rPr>
                <w:rFonts w:ascii="宋体" w:hAnsi="宋体" w:cs="宋体"/>
                <w:color w:val="000000" w:themeColor="text1"/>
                <w:kern w:val="0"/>
                <w:sz w:val="18"/>
                <w:szCs w:val="18"/>
                <w:lang w:bidi="ar"/>
              </w:rPr>
              <w:t>次(可根据病情需要增加检测频次)</w:t>
            </w:r>
          </w:p>
        </w:tc>
      </w:tr>
      <w:tr w:rsidR="00110865">
        <w:trPr>
          <w:trHeight w:val="42"/>
        </w:trPr>
        <w:tc>
          <w:tcPr>
            <w:tcW w:w="2722" w:type="dxa"/>
            <w:gridSpan w:val="2"/>
            <w:vMerge w:val="restart"/>
            <w:tcBorders>
              <w:top w:val="single" w:sz="4" w:space="0" w:color="000000"/>
              <w:left w:val="single" w:sz="8" w:space="0" w:color="auto"/>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病毒载量</w:t>
            </w:r>
          </w:p>
        </w:tc>
        <w:tc>
          <w:tcPr>
            <w:tcW w:w="724" w:type="dxa"/>
            <w:vMerge w:val="restart"/>
            <w:tcBorders>
              <w:top w:val="single" w:sz="4" w:space="0" w:color="000000"/>
              <w:left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center"/>
              <w:rPr>
                <w:rFonts w:ascii="宋体" w:hAnsi="宋体" w:cs="Arial"/>
                <w:color w:val="000000" w:themeColor="text1"/>
                <w:sz w:val="18"/>
                <w:szCs w:val="18"/>
              </w:rPr>
            </w:pP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r>
      <w:tr w:rsidR="00110865">
        <w:trPr>
          <w:trHeight w:val="58"/>
        </w:trPr>
        <w:tc>
          <w:tcPr>
            <w:tcW w:w="2722" w:type="dxa"/>
            <w:gridSpan w:val="2"/>
            <w:vMerge/>
            <w:tcBorders>
              <w:left w:val="single" w:sz="8" w:space="0" w:color="auto"/>
              <w:bottom w:val="single" w:sz="4" w:space="0" w:color="000000"/>
              <w:right w:val="single" w:sz="4" w:space="0" w:color="000000"/>
            </w:tcBorders>
            <w:vAlign w:val="center"/>
          </w:tcPr>
          <w:p w:rsidR="00110865" w:rsidRDefault="00110865">
            <w:pPr>
              <w:widowControl/>
              <w:spacing w:line="240" w:lineRule="auto"/>
              <w:jc w:val="left"/>
              <w:textAlignment w:val="center"/>
              <w:rPr>
                <w:rFonts w:ascii="宋体" w:hAnsi="宋体" w:cs="宋体"/>
                <w:color w:val="000000" w:themeColor="text1"/>
                <w:kern w:val="0"/>
                <w:sz w:val="18"/>
                <w:szCs w:val="18"/>
                <w:lang w:bidi="ar"/>
              </w:rPr>
            </w:pPr>
          </w:p>
        </w:tc>
        <w:tc>
          <w:tcPr>
            <w:tcW w:w="724" w:type="dxa"/>
            <w:vMerge/>
            <w:tcBorders>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5164" w:type="dxa"/>
            <w:gridSpan w:val="9"/>
            <w:tcBorders>
              <w:top w:val="single" w:sz="4" w:space="0" w:color="000000"/>
              <w:left w:val="single" w:sz="4" w:space="0" w:color="000000"/>
              <w:bottom w:val="single" w:sz="4" w:space="0" w:color="000000"/>
              <w:right w:val="single" w:sz="8" w:space="0" w:color="auto"/>
            </w:tcBorders>
          </w:tcPr>
          <w:p w:rsidR="00110865" w:rsidRDefault="00943B26">
            <w:pPr>
              <w:spacing w:line="240" w:lineRule="auto"/>
              <w:jc w:val="left"/>
              <w:rPr>
                <w:rFonts w:ascii="宋体" w:hAnsi="宋体" w:cs="Arial"/>
                <w:color w:val="000000" w:themeColor="text1"/>
                <w:sz w:val="18"/>
                <w:szCs w:val="18"/>
              </w:rPr>
            </w:pPr>
            <w:r>
              <w:rPr>
                <w:rFonts w:ascii="宋体" w:hAnsi="宋体" w:cs="宋体"/>
                <w:color w:val="000000" w:themeColor="text1"/>
                <w:kern w:val="0"/>
                <w:sz w:val="18"/>
                <w:szCs w:val="18"/>
                <w:lang w:bidi="ar"/>
              </w:rPr>
              <w:t>每年至少</w:t>
            </w:r>
            <w:r>
              <w:rPr>
                <w:rFonts w:ascii="宋体" w:hAnsi="宋体" w:cs="宋体" w:hint="eastAsia"/>
                <w:color w:val="000000" w:themeColor="text1"/>
                <w:kern w:val="0"/>
                <w:sz w:val="18"/>
                <w:szCs w:val="18"/>
                <w:lang w:bidi="ar"/>
              </w:rPr>
              <w:t>1</w:t>
            </w:r>
            <w:r>
              <w:rPr>
                <w:rFonts w:ascii="宋体" w:hAnsi="宋体" w:cs="宋体"/>
                <w:color w:val="000000" w:themeColor="text1"/>
                <w:kern w:val="0"/>
                <w:sz w:val="18"/>
                <w:szCs w:val="18"/>
                <w:lang w:bidi="ar"/>
              </w:rPr>
              <w:t>次(可根据病情需要增加检测频次)</w:t>
            </w:r>
          </w:p>
        </w:tc>
      </w:tr>
      <w:tr w:rsidR="00110865">
        <w:trPr>
          <w:trHeight w:val="42"/>
        </w:trPr>
        <w:tc>
          <w:tcPr>
            <w:tcW w:w="2722" w:type="dxa"/>
            <w:gridSpan w:val="2"/>
            <w:tcBorders>
              <w:top w:val="single" w:sz="4" w:space="0" w:color="000000"/>
              <w:left w:val="single" w:sz="8" w:space="0" w:color="auto"/>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胸</w:t>
            </w:r>
            <w:r>
              <w:rPr>
                <w:rFonts w:ascii="宋体" w:hAnsi="宋体" w:cs="宋体"/>
                <w:color w:val="000000" w:themeColor="text1"/>
                <w:kern w:val="0"/>
                <w:sz w:val="18"/>
                <w:szCs w:val="18"/>
                <w:lang w:bidi="ar"/>
              </w:rPr>
              <w:t>部X线检查</w:t>
            </w:r>
            <w:r>
              <w:rPr>
                <w:rFonts w:ascii="宋体" w:hAnsi="宋体" w:cs="宋体" w:hint="eastAsia"/>
                <w:color w:val="000000" w:themeColor="text1"/>
                <w:kern w:val="0"/>
                <w:sz w:val="18"/>
                <w:szCs w:val="18"/>
                <w:lang w:bidi="ar"/>
              </w:rPr>
              <w:t>、B超，心电图</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64"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23"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512"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396" w:type="dxa"/>
            <w:tcBorders>
              <w:top w:val="single" w:sz="4" w:space="0" w:color="000000"/>
              <w:left w:val="single" w:sz="4" w:space="0" w:color="000000"/>
              <w:bottom w:val="single" w:sz="4" w:space="0" w:color="000000"/>
              <w:right w:val="single" w:sz="8" w:space="0" w:color="auto"/>
            </w:tcBorders>
          </w:tcPr>
          <w:p w:rsidR="00110865" w:rsidRDefault="00110865">
            <w:pPr>
              <w:spacing w:line="240" w:lineRule="auto"/>
              <w:jc w:val="left"/>
              <w:rPr>
                <w:rFonts w:ascii="宋体" w:hAnsi="宋体" w:cs="Arial"/>
                <w:color w:val="000000" w:themeColor="text1"/>
                <w:sz w:val="18"/>
                <w:szCs w:val="18"/>
              </w:rPr>
            </w:pPr>
          </w:p>
        </w:tc>
      </w:tr>
      <w:tr w:rsidR="00110865">
        <w:trPr>
          <w:trHeight w:val="42"/>
        </w:trPr>
        <w:tc>
          <w:tcPr>
            <w:tcW w:w="8610" w:type="dxa"/>
            <w:gridSpan w:val="12"/>
            <w:tcBorders>
              <w:top w:val="single" w:sz="4" w:space="0" w:color="000000"/>
              <w:left w:val="single" w:sz="8" w:space="0" w:color="auto"/>
              <w:bottom w:val="single" w:sz="4" w:space="0" w:color="000000"/>
              <w:right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服用特定药物时</w:t>
            </w:r>
          </w:p>
        </w:tc>
      </w:tr>
      <w:tr w:rsidR="00110865">
        <w:trPr>
          <w:trHeight w:val="42"/>
        </w:trPr>
        <w:tc>
          <w:tcPr>
            <w:tcW w:w="968" w:type="dxa"/>
            <w:vMerge w:val="restart"/>
            <w:tcBorders>
              <w:top w:val="single" w:sz="4" w:space="0" w:color="000000"/>
              <w:left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EF</w:t>
            </w:r>
            <w:r>
              <w:rPr>
                <w:rFonts w:ascii="宋体" w:hAnsi="宋体" w:cs="宋体" w:hint="eastAsia"/>
                <w:color w:val="000000" w:themeColor="text1"/>
                <w:kern w:val="0"/>
                <w:sz w:val="18"/>
                <w:szCs w:val="18"/>
                <w:lang w:bidi="ar"/>
              </w:rPr>
              <w:t>V</w:t>
            </w:r>
          </w:p>
        </w:tc>
        <w:tc>
          <w:tcPr>
            <w:tcW w:w="175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皮疹</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110865">
            <w:pPr>
              <w:spacing w:line="240" w:lineRule="auto"/>
              <w:jc w:val="center"/>
              <w:rPr>
                <w:rFonts w:ascii="宋体" w:hAnsi="宋体" w:cs="宋体"/>
                <w:color w:val="000000" w:themeColor="text1"/>
                <w:sz w:val="18"/>
                <w:szCs w:val="18"/>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spacing w:line="240" w:lineRule="auto"/>
              <w:jc w:val="center"/>
              <w:rPr>
                <w:rFonts w:ascii="宋体" w:hAnsi="宋体" w:cs="宋体"/>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宋体"/>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宋体"/>
                <w:color w:val="000000" w:themeColor="text1"/>
                <w:sz w:val="18"/>
                <w:szCs w:val="18"/>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宋体"/>
                <w:color w:val="000000" w:themeColor="text1"/>
                <w:sz w:val="18"/>
                <w:szCs w:val="18"/>
              </w:rPr>
            </w:pPr>
          </w:p>
        </w:tc>
        <w:tc>
          <w:tcPr>
            <w:tcW w:w="396" w:type="dxa"/>
            <w:tcBorders>
              <w:top w:val="single" w:sz="4" w:space="0" w:color="000000"/>
              <w:left w:val="single" w:sz="4" w:space="0" w:color="000000"/>
              <w:bottom w:val="single" w:sz="4" w:space="0" w:color="000000"/>
              <w:right w:val="single" w:sz="8" w:space="0" w:color="auto"/>
            </w:tcBorders>
          </w:tcPr>
          <w:p w:rsidR="00110865" w:rsidRDefault="00110865">
            <w:pPr>
              <w:spacing w:line="240" w:lineRule="auto"/>
              <w:jc w:val="left"/>
              <w:rPr>
                <w:rFonts w:ascii="宋体" w:hAnsi="宋体" w:cs="宋体"/>
                <w:color w:val="000000" w:themeColor="text1"/>
                <w:sz w:val="18"/>
                <w:szCs w:val="18"/>
              </w:rPr>
            </w:pPr>
          </w:p>
        </w:tc>
      </w:tr>
      <w:tr w:rsidR="00110865">
        <w:trPr>
          <w:trHeight w:val="86"/>
        </w:trPr>
        <w:tc>
          <w:tcPr>
            <w:tcW w:w="968" w:type="dxa"/>
            <w:vMerge/>
            <w:tcBorders>
              <w:left w:val="single" w:sz="8" w:space="0" w:color="auto"/>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175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神经和精神状态</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35"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656"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396" w:type="dxa"/>
            <w:tcBorders>
              <w:top w:val="single" w:sz="4" w:space="0" w:color="000000"/>
              <w:left w:val="single" w:sz="4" w:space="0" w:color="000000"/>
              <w:bottom w:val="single" w:sz="4" w:space="0" w:color="000000"/>
              <w:right w:val="single" w:sz="8" w:space="0" w:color="auto"/>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r>
      <w:tr w:rsidR="00110865">
        <w:trPr>
          <w:trHeight w:val="42"/>
        </w:trPr>
        <w:tc>
          <w:tcPr>
            <w:tcW w:w="968" w:type="dxa"/>
            <w:vMerge w:val="restart"/>
            <w:tcBorders>
              <w:top w:val="single" w:sz="4" w:space="0" w:color="000000"/>
              <w:left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ABC</w:t>
            </w:r>
          </w:p>
        </w:tc>
        <w:tc>
          <w:tcPr>
            <w:tcW w:w="1754"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皮疹</w:t>
            </w:r>
          </w:p>
        </w:tc>
        <w:tc>
          <w:tcPr>
            <w:tcW w:w="724" w:type="dxa"/>
            <w:tcBorders>
              <w:top w:val="single" w:sz="4" w:space="0" w:color="000000"/>
              <w:left w:val="single" w:sz="4" w:space="0" w:color="000000"/>
              <w:bottom w:val="single" w:sz="4" w:space="0" w:color="000000"/>
              <w:right w:val="single" w:sz="4" w:space="0" w:color="000000"/>
            </w:tcBorders>
            <w:vAlign w:val="center"/>
          </w:tcPr>
          <w:p w:rsidR="00110865" w:rsidRDefault="00110865">
            <w:pPr>
              <w:widowControl/>
              <w:spacing w:line="240" w:lineRule="auto"/>
              <w:jc w:val="center"/>
              <w:textAlignment w:val="center"/>
              <w:rPr>
                <w:rFonts w:ascii="宋体" w:hAnsi="宋体" w:cs="Arial"/>
                <w:color w:val="000000" w:themeColor="text1"/>
                <w:sz w:val="18"/>
                <w:szCs w:val="18"/>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110865" w:rsidRDefault="00943B26">
            <w:pPr>
              <w:spacing w:line="240" w:lineRule="auto"/>
              <w:jc w:val="center"/>
              <w:rPr>
                <w:rFonts w:ascii="宋体" w:hAnsi="宋体" w:cs="Arial"/>
                <w:color w:val="000000" w:themeColor="text1"/>
                <w:sz w:val="18"/>
                <w:szCs w:val="18"/>
              </w:rPr>
            </w:pPr>
            <w:r>
              <w:rPr>
                <w:rFonts w:ascii="宋体" w:hAnsi="宋体" w:cs="宋体"/>
                <w:color w:val="000000" w:themeColor="text1"/>
                <w:kern w:val="0"/>
                <w:sz w:val="18"/>
                <w:szCs w:val="18"/>
                <w:lang w:bidi="ar"/>
              </w:rPr>
              <w:t>X</w:t>
            </w:r>
          </w:p>
        </w:tc>
        <w:tc>
          <w:tcPr>
            <w:tcW w:w="564" w:type="dxa"/>
            <w:tcBorders>
              <w:top w:val="single" w:sz="4" w:space="0" w:color="000000"/>
              <w:left w:val="single" w:sz="4" w:space="0" w:color="000000"/>
              <w:bottom w:val="single" w:sz="4" w:space="0" w:color="000000"/>
              <w:right w:val="single" w:sz="4" w:space="0" w:color="000000"/>
            </w:tcBorders>
            <w:vAlign w:val="center"/>
          </w:tcPr>
          <w:p w:rsidR="00110865" w:rsidRDefault="00943B26">
            <w:pPr>
              <w:spacing w:line="240" w:lineRule="auto"/>
              <w:jc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23" w:type="dxa"/>
            <w:tcBorders>
              <w:top w:val="single" w:sz="4" w:space="0" w:color="000000"/>
              <w:left w:val="single" w:sz="4" w:space="0" w:color="000000"/>
              <w:bottom w:val="single" w:sz="4" w:space="0" w:color="000000"/>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color w:val="000000" w:themeColor="text1"/>
                <w:kern w:val="0"/>
                <w:sz w:val="18"/>
                <w:szCs w:val="18"/>
                <w:lang w:bidi="ar"/>
              </w:rPr>
              <w:t>X</w:t>
            </w:r>
          </w:p>
        </w:tc>
        <w:tc>
          <w:tcPr>
            <w:tcW w:w="512" w:type="dxa"/>
            <w:tcBorders>
              <w:top w:val="single" w:sz="4" w:space="0" w:color="000000"/>
              <w:left w:val="single" w:sz="4" w:space="0" w:color="000000"/>
              <w:bottom w:val="single" w:sz="4" w:space="0" w:color="000000"/>
              <w:right w:val="single" w:sz="4" w:space="0" w:color="000000"/>
            </w:tcBorders>
            <w:vAlign w:val="center"/>
          </w:tcPr>
          <w:p w:rsidR="00110865" w:rsidRDefault="00110865">
            <w:pPr>
              <w:spacing w:line="240" w:lineRule="auto"/>
              <w:jc w:val="center"/>
              <w:rPr>
                <w:rFonts w:ascii="宋体" w:hAnsi="宋体" w:cs="Arial"/>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35"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56" w:type="dxa"/>
            <w:tcBorders>
              <w:top w:val="single" w:sz="4" w:space="0" w:color="000000"/>
              <w:left w:val="single" w:sz="4" w:space="0" w:color="000000"/>
              <w:bottom w:val="single" w:sz="4" w:space="0" w:color="000000"/>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396" w:type="dxa"/>
            <w:tcBorders>
              <w:top w:val="single" w:sz="4" w:space="0" w:color="000000"/>
              <w:left w:val="single" w:sz="4" w:space="0" w:color="000000"/>
              <w:bottom w:val="single" w:sz="4" w:space="0" w:color="000000"/>
              <w:right w:val="single" w:sz="8" w:space="0" w:color="auto"/>
            </w:tcBorders>
          </w:tcPr>
          <w:p w:rsidR="00110865" w:rsidRDefault="00110865">
            <w:pPr>
              <w:spacing w:line="240" w:lineRule="auto"/>
              <w:jc w:val="left"/>
              <w:rPr>
                <w:rFonts w:ascii="宋体" w:hAnsi="宋体" w:cs="Arial"/>
                <w:color w:val="000000" w:themeColor="text1"/>
                <w:sz w:val="18"/>
                <w:szCs w:val="18"/>
              </w:rPr>
            </w:pPr>
          </w:p>
        </w:tc>
      </w:tr>
      <w:tr w:rsidR="00110865">
        <w:trPr>
          <w:trHeight w:val="42"/>
        </w:trPr>
        <w:tc>
          <w:tcPr>
            <w:tcW w:w="968" w:type="dxa"/>
            <w:vMerge/>
            <w:tcBorders>
              <w:left w:val="single" w:sz="8" w:space="0" w:color="auto"/>
              <w:bottom w:val="single" w:sz="8" w:space="0" w:color="auto"/>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kern w:val="0"/>
                <w:sz w:val="18"/>
                <w:szCs w:val="18"/>
                <w:lang w:bidi="ar"/>
              </w:rPr>
            </w:pPr>
          </w:p>
        </w:tc>
        <w:tc>
          <w:tcPr>
            <w:tcW w:w="1754"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left"/>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HLA-B</w:t>
            </w:r>
            <w:r>
              <w:rPr>
                <w:rStyle w:val="font61"/>
                <w:color w:val="000000" w:themeColor="text1"/>
                <w:sz w:val="18"/>
                <w:szCs w:val="18"/>
                <w:lang w:bidi="ar"/>
              </w:rPr>
              <w:t xml:space="preserve"> </w:t>
            </w:r>
            <w:r>
              <w:rPr>
                <w:rStyle w:val="font31"/>
                <w:b w:val="0"/>
                <w:bCs w:val="0"/>
                <w:color w:val="000000" w:themeColor="text1"/>
                <w:sz w:val="18"/>
                <w:szCs w:val="18"/>
                <w:lang w:bidi="ar"/>
              </w:rPr>
              <w:t>5701</w:t>
            </w:r>
          </w:p>
        </w:tc>
        <w:tc>
          <w:tcPr>
            <w:tcW w:w="724" w:type="dxa"/>
            <w:tcBorders>
              <w:top w:val="single" w:sz="4" w:space="0" w:color="000000"/>
              <w:left w:val="single" w:sz="4" w:space="0" w:color="000000"/>
              <w:bottom w:val="single" w:sz="8" w:space="0" w:color="auto"/>
              <w:right w:val="single" w:sz="4" w:space="0" w:color="000000"/>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X</w:t>
            </w:r>
          </w:p>
        </w:tc>
        <w:tc>
          <w:tcPr>
            <w:tcW w:w="731" w:type="dxa"/>
            <w:tcBorders>
              <w:top w:val="single" w:sz="4" w:space="0" w:color="000000"/>
              <w:left w:val="single" w:sz="4" w:space="0" w:color="000000"/>
              <w:bottom w:val="single" w:sz="8" w:space="0" w:color="auto"/>
              <w:right w:val="single" w:sz="4" w:space="0" w:color="000000"/>
            </w:tcBorders>
            <w:vAlign w:val="center"/>
          </w:tcPr>
          <w:p w:rsidR="00110865" w:rsidRDefault="00110865">
            <w:pPr>
              <w:spacing w:line="240" w:lineRule="auto"/>
              <w:jc w:val="center"/>
              <w:rPr>
                <w:rFonts w:ascii="宋体" w:hAnsi="宋体" w:cs="Arial"/>
                <w:color w:val="000000" w:themeColor="text1"/>
                <w:sz w:val="18"/>
                <w:szCs w:val="18"/>
              </w:rPr>
            </w:pPr>
          </w:p>
        </w:tc>
        <w:tc>
          <w:tcPr>
            <w:tcW w:w="564" w:type="dxa"/>
            <w:tcBorders>
              <w:top w:val="single" w:sz="4" w:space="0" w:color="000000"/>
              <w:left w:val="single" w:sz="4" w:space="0" w:color="000000"/>
              <w:bottom w:val="single" w:sz="8" w:space="0" w:color="auto"/>
              <w:right w:val="single" w:sz="4" w:space="0" w:color="000000"/>
            </w:tcBorders>
            <w:vAlign w:val="center"/>
          </w:tcPr>
          <w:p w:rsidR="00110865" w:rsidRDefault="00110865">
            <w:pPr>
              <w:spacing w:line="240" w:lineRule="auto"/>
              <w:jc w:val="center"/>
              <w:rPr>
                <w:rFonts w:ascii="宋体" w:hAnsi="宋体" w:cs="宋体"/>
                <w:color w:val="000000" w:themeColor="text1"/>
                <w:sz w:val="18"/>
                <w:szCs w:val="18"/>
              </w:rPr>
            </w:pPr>
          </w:p>
        </w:tc>
        <w:tc>
          <w:tcPr>
            <w:tcW w:w="512" w:type="dxa"/>
            <w:tcBorders>
              <w:top w:val="single" w:sz="4" w:space="0" w:color="000000"/>
              <w:left w:val="single" w:sz="4" w:space="0" w:color="000000"/>
              <w:bottom w:val="single" w:sz="8" w:space="0" w:color="auto"/>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c>
          <w:tcPr>
            <w:tcW w:w="523" w:type="dxa"/>
            <w:tcBorders>
              <w:top w:val="single" w:sz="4" w:space="0" w:color="000000"/>
              <w:left w:val="single" w:sz="4" w:space="0" w:color="000000"/>
              <w:bottom w:val="single" w:sz="8" w:space="0" w:color="auto"/>
              <w:right w:val="single" w:sz="4" w:space="0" w:color="000000"/>
            </w:tcBorders>
            <w:vAlign w:val="center"/>
          </w:tcPr>
          <w:p w:rsidR="00110865" w:rsidRDefault="00110865">
            <w:pPr>
              <w:widowControl/>
              <w:spacing w:line="240" w:lineRule="auto"/>
              <w:jc w:val="center"/>
              <w:textAlignment w:val="center"/>
              <w:rPr>
                <w:rFonts w:ascii="宋体" w:hAnsi="宋体" w:cs="宋体"/>
                <w:color w:val="000000" w:themeColor="text1"/>
                <w:sz w:val="18"/>
                <w:szCs w:val="18"/>
              </w:rPr>
            </w:pPr>
          </w:p>
        </w:tc>
        <w:tc>
          <w:tcPr>
            <w:tcW w:w="512" w:type="dxa"/>
            <w:tcBorders>
              <w:top w:val="single" w:sz="4" w:space="0" w:color="000000"/>
              <w:left w:val="single" w:sz="4" w:space="0" w:color="000000"/>
              <w:bottom w:val="single" w:sz="8" w:space="0" w:color="auto"/>
              <w:right w:val="single" w:sz="4" w:space="0" w:color="000000"/>
            </w:tcBorders>
            <w:vAlign w:val="center"/>
          </w:tcPr>
          <w:p w:rsidR="00110865" w:rsidRDefault="00110865">
            <w:pPr>
              <w:spacing w:line="240" w:lineRule="auto"/>
              <w:jc w:val="center"/>
              <w:rPr>
                <w:rFonts w:ascii="宋体" w:hAnsi="宋体" w:cs="Arial"/>
                <w:color w:val="000000" w:themeColor="text1"/>
                <w:sz w:val="18"/>
                <w:szCs w:val="18"/>
              </w:rPr>
            </w:pPr>
          </w:p>
        </w:tc>
        <w:tc>
          <w:tcPr>
            <w:tcW w:w="635" w:type="dxa"/>
            <w:tcBorders>
              <w:top w:val="single" w:sz="4" w:space="0" w:color="000000"/>
              <w:left w:val="single" w:sz="4" w:space="0" w:color="000000"/>
              <w:bottom w:val="single" w:sz="8" w:space="0" w:color="auto"/>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35" w:type="dxa"/>
            <w:tcBorders>
              <w:top w:val="single" w:sz="4" w:space="0" w:color="000000"/>
              <w:left w:val="single" w:sz="4" w:space="0" w:color="000000"/>
              <w:bottom w:val="single" w:sz="8" w:space="0" w:color="auto"/>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656" w:type="dxa"/>
            <w:tcBorders>
              <w:top w:val="single" w:sz="4" w:space="0" w:color="000000"/>
              <w:left w:val="single" w:sz="4" w:space="0" w:color="000000"/>
              <w:bottom w:val="single" w:sz="8" w:space="0" w:color="auto"/>
              <w:right w:val="single" w:sz="4" w:space="0" w:color="000000"/>
            </w:tcBorders>
          </w:tcPr>
          <w:p w:rsidR="00110865" w:rsidRDefault="00110865">
            <w:pPr>
              <w:spacing w:line="240" w:lineRule="auto"/>
              <w:jc w:val="left"/>
              <w:rPr>
                <w:rFonts w:ascii="宋体" w:hAnsi="宋体" w:cs="Arial"/>
                <w:color w:val="000000" w:themeColor="text1"/>
                <w:sz w:val="18"/>
                <w:szCs w:val="18"/>
              </w:rPr>
            </w:pPr>
          </w:p>
        </w:tc>
        <w:tc>
          <w:tcPr>
            <w:tcW w:w="396" w:type="dxa"/>
            <w:tcBorders>
              <w:top w:val="single" w:sz="4" w:space="0" w:color="000000"/>
              <w:left w:val="single" w:sz="4" w:space="0" w:color="000000"/>
              <w:bottom w:val="single" w:sz="8" w:space="0" w:color="auto"/>
              <w:right w:val="single" w:sz="8" w:space="0" w:color="auto"/>
            </w:tcBorders>
          </w:tcPr>
          <w:p w:rsidR="00110865" w:rsidRDefault="00110865">
            <w:pPr>
              <w:spacing w:line="240" w:lineRule="auto"/>
              <w:jc w:val="left"/>
              <w:rPr>
                <w:rFonts w:ascii="宋体" w:hAnsi="宋体" w:cs="Arial"/>
                <w:color w:val="000000" w:themeColor="text1"/>
                <w:sz w:val="18"/>
                <w:szCs w:val="18"/>
              </w:rPr>
            </w:pPr>
          </w:p>
        </w:tc>
      </w:tr>
    </w:tbl>
    <w:p w:rsidR="00110865" w:rsidRDefault="00943B26">
      <w:pPr>
        <w:pStyle w:val="afff2"/>
      </w:pPr>
      <w:r>
        <w:rPr>
          <w:lang w:bidi="ar"/>
        </w:rPr>
        <w:t>HIV基因型耐药检测</w:t>
      </w:r>
      <w:r>
        <w:rPr>
          <w:rFonts w:hint="eastAsia"/>
          <w:lang w:bidi="ar"/>
        </w:rPr>
        <w:t>、</w:t>
      </w:r>
      <w:r>
        <w:rPr>
          <w:lang w:bidi="ar"/>
        </w:rPr>
        <w:t>HLA-B</w:t>
      </w:r>
      <w:r>
        <w:rPr>
          <w:rStyle w:val="font61"/>
          <w:color w:val="000000" w:themeColor="text1"/>
          <w:sz w:val="18"/>
          <w:szCs w:val="18"/>
          <w:lang w:bidi="ar"/>
        </w:rPr>
        <w:t xml:space="preserve"> </w:t>
      </w:r>
      <w:r>
        <w:rPr>
          <w:rStyle w:val="font31"/>
          <w:b w:val="0"/>
          <w:bCs w:val="0"/>
          <w:color w:val="000000" w:themeColor="text1"/>
          <w:sz w:val="18"/>
          <w:szCs w:val="18"/>
          <w:lang w:bidi="ar"/>
        </w:rPr>
        <w:t>5701</w:t>
      </w:r>
      <w:r>
        <w:rPr>
          <w:rStyle w:val="font31"/>
          <w:rFonts w:hint="eastAsia"/>
          <w:b w:val="0"/>
          <w:bCs w:val="0"/>
          <w:color w:val="000000" w:themeColor="text1"/>
          <w:sz w:val="18"/>
          <w:szCs w:val="18"/>
          <w:lang w:bidi="ar"/>
        </w:rPr>
        <w:t>有条件时推荐检测。</w:t>
      </w:r>
    </w:p>
    <w:p w:rsidR="00110865" w:rsidRDefault="00110865">
      <w:pPr>
        <w:pStyle w:val="afffffd"/>
        <w:ind w:firstLine="420"/>
      </w:pPr>
    </w:p>
    <w:p w:rsidR="00110865" w:rsidRDefault="00110865">
      <w:pPr>
        <w:pStyle w:val="afffffffff6"/>
        <w:numPr>
          <w:ilvl w:val="0"/>
          <w:numId w:val="0"/>
        </w:numPr>
      </w:pPr>
    </w:p>
    <w:p w:rsidR="00110865" w:rsidRDefault="00110865">
      <w:pPr>
        <w:pStyle w:val="afffffffff6"/>
        <w:numPr>
          <w:ilvl w:val="0"/>
          <w:numId w:val="0"/>
        </w:numPr>
        <w:sectPr w:rsidR="00110865">
          <w:headerReference w:type="even" r:id="rId42"/>
          <w:headerReference w:type="default" r:id="rId43"/>
          <w:footerReference w:type="even" r:id="rId44"/>
          <w:footerReference w:type="default" r:id="rId45"/>
          <w:pgSz w:w="11906" w:h="16838"/>
          <w:pgMar w:top="1928" w:right="1134" w:bottom="1134" w:left="1134" w:header="1418" w:footer="1134" w:gutter="284"/>
          <w:cols w:space="425"/>
          <w:formProt w:val="0"/>
          <w:docGrid w:linePitch="312"/>
        </w:sectPr>
      </w:pPr>
    </w:p>
    <w:p w:rsidR="00110865" w:rsidRDefault="00110865">
      <w:pPr>
        <w:pStyle w:val="af8"/>
        <w:rPr>
          <w:vanish w:val="0"/>
        </w:rPr>
      </w:pPr>
    </w:p>
    <w:p w:rsidR="00110865" w:rsidRDefault="00110865">
      <w:pPr>
        <w:pStyle w:val="afe"/>
        <w:rPr>
          <w:vanish w:val="0"/>
        </w:rPr>
      </w:pPr>
    </w:p>
    <w:p w:rsidR="00110865" w:rsidRDefault="00943B26">
      <w:pPr>
        <w:pStyle w:val="aff3"/>
        <w:spacing w:after="120"/>
      </w:pPr>
      <w:r>
        <w:br/>
      </w:r>
      <w:bookmarkStart w:id="130" w:name="_Toc216451304"/>
      <w:bookmarkStart w:id="131" w:name="_Toc216451276"/>
      <w:bookmarkStart w:id="132" w:name="_Toc224931459"/>
      <w:bookmarkStart w:id="133" w:name="_Toc224931568"/>
      <w:bookmarkStart w:id="134" w:name="_Toc224929965"/>
      <w:r>
        <w:rPr>
          <w:rFonts w:hint="eastAsia"/>
        </w:rPr>
        <w:t>（资料性）</w:t>
      </w:r>
      <w:r>
        <w:br/>
      </w:r>
      <w:bookmarkEnd w:id="130"/>
      <w:bookmarkEnd w:id="131"/>
      <w:r>
        <w:rPr>
          <w:rFonts w:hint="eastAsia"/>
          <w:color w:val="000000" w:themeColor="text1"/>
        </w:rPr>
        <w:t>HIV感染儿童抗病毒治疗失败后的调整方案</w:t>
      </w:r>
      <w:bookmarkEnd w:id="132"/>
      <w:bookmarkEnd w:id="133"/>
      <w:bookmarkEnd w:id="134"/>
    </w:p>
    <w:p w:rsidR="00110865" w:rsidRDefault="00943B26">
      <w:pPr>
        <w:pStyle w:val="afffffd"/>
        <w:ind w:firstLine="420"/>
      </w:pPr>
      <w:r>
        <w:rPr>
          <w:rFonts w:hint="eastAsia"/>
          <w:color w:val="000000" w:themeColor="text1"/>
        </w:rPr>
        <w:t>HIV感染儿童抗病毒治疗失败后的调整方案</w:t>
      </w:r>
      <w:r>
        <w:rPr>
          <w:rFonts w:hint="eastAsia"/>
        </w:rPr>
        <w:t>见表</w:t>
      </w:r>
      <w:r>
        <w:t>E.1</w:t>
      </w:r>
      <w:r>
        <w:rPr>
          <w:rFonts w:hint="eastAsia"/>
        </w:rPr>
        <w:t>。</w:t>
      </w:r>
    </w:p>
    <w:p w:rsidR="00110865" w:rsidRDefault="00943B26">
      <w:pPr>
        <w:pStyle w:val="aff"/>
        <w:spacing w:before="120" w:after="120"/>
        <w:rPr>
          <w:color w:val="000000" w:themeColor="text1"/>
        </w:rPr>
      </w:pPr>
      <w:r>
        <w:rPr>
          <w:rFonts w:hint="eastAsia"/>
          <w:color w:val="000000" w:themeColor="text1"/>
        </w:rPr>
        <w:t>HIV感染儿童抗病毒治疗失败后的调整方案</w:t>
      </w:r>
    </w:p>
    <w:tbl>
      <w:tblPr>
        <w:tblW w:w="4854" w:type="pct"/>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2026"/>
        <w:gridCol w:w="3267"/>
        <w:gridCol w:w="3768"/>
      </w:tblGrid>
      <w:tr w:rsidR="00110865">
        <w:trPr>
          <w:trHeight w:val="40"/>
          <w:jc w:val="center"/>
        </w:trPr>
        <w:tc>
          <w:tcPr>
            <w:tcW w:w="1118" w:type="pct"/>
            <w:tcBorders>
              <w:top w:val="single" w:sz="8" w:space="0" w:color="auto"/>
              <w:bottom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初始方案失败类型</w:t>
            </w:r>
          </w:p>
        </w:tc>
        <w:tc>
          <w:tcPr>
            <w:tcW w:w="1803" w:type="pct"/>
            <w:tcBorders>
              <w:top w:val="single" w:sz="8" w:space="0" w:color="auto"/>
              <w:bottom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处理建议</w:t>
            </w:r>
          </w:p>
        </w:tc>
        <w:tc>
          <w:tcPr>
            <w:tcW w:w="2078" w:type="pct"/>
            <w:tcBorders>
              <w:top w:val="single" w:sz="8" w:space="0" w:color="auto"/>
              <w:bottom w:val="single" w:sz="8" w:space="0" w:color="auto"/>
            </w:tcBorders>
            <w:vAlign w:val="center"/>
          </w:tcPr>
          <w:p w:rsidR="00110865" w:rsidRDefault="00943B26">
            <w:pPr>
              <w:widowControl/>
              <w:spacing w:line="240" w:lineRule="auto"/>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调整方案</w:t>
            </w:r>
          </w:p>
        </w:tc>
      </w:tr>
      <w:tr w:rsidR="00110865">
        <w:trPr>
          <w:trHeight w:val="50"/>
          <w:jc w:val="center"/>
        </w:trPr>
        <w:tc>
          <w:tcPr>
            <w:tcW w:w="1118" w:type="pct"/>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sz w:val="18"/>
                <w:szCs w:val="18"/>
              </w:rPr>
            </w:pPr>
            <w:r>
              <w:rPr>
                <w:rFonts w:ascii="宋体" w:hAnsi="宋体" w:cs="宋体" w:hint="eastAsia"/>
                <w:color w:val="000000" w:themeColor="text1"/>
                <w:kern w:val="0"/>
                <w:sz w:val="18"/>
                <w:szCs w:val="18"/>
                <w:lang w:bidi="ar"/>
              </w:rPr>
              <w:t>NNRTI类药物失败</w:t>
            </w:r>
          </w:p>
        </w:tc>
        <w:tc>
          <w:tcPr>
            <w:tcW w:w="1803" w:type="pct"/>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sz w:val="18"/>
                <w:szCs w:val="18"/>
              </w:rPr>
            </w:pPr>
            <w:r>
              <w:rPr>
                <w:rFonts w:ascii="宋体" w:hAnsi="宋体" w:cs="宋体" w:hint="eastAsia"/>
                <w:color w:val="000000" w:themeColor="text1"/>
                <w:kern w:val="0"/>
                <w:sz w:val="18"/>
                <w:szCs w:val="18"/>
                <w:lang w:bidi="ar"/>
              </w:rPr>
              <w:t>根据耐药结果调整</w:t>
            </w:r>
          </w:p>
        </w:tc>
        <w:tc>
          <w:tcPr>
            <w:tcW w:w="2078" w:type="pct"/>
            <w:tcBorders>
              <w:top w:val="single" w:sz="8" w:space="0" w:color="auto"/>
            </w:tcBorders>
            <w:vAlign w:val="center"/>
          </w:tcPr>
          <w:p w:rsidR="00110865" w:rsidRDefault="00943B26">
            <w:pPr>
              <w:widowControl/>
              <w:spacing w:line="240" w:lineRule="auto"/>
              <w:ind w:firstLineChars="50" w:firstLine="90"/>
              <w:textAlignment w:val="top"/>
              <w:rPr>
                <w:rFonts w:ascii="宋体" w:hAnsi="宋体" w:cs="宋体"/>
                <w:color w:val="000000" w:themeColor="text1"/>
                <w:sz w:val="18"/>
                <w:szCs w:val="18"/>
              </w:rPr>
            </w:pPr>
            <w:r>
              <w:rPr>
                <w:rFonts w:ascii="宋体" w:hAnsi="宋体" w:cs="宋体"/>
                <w:color w:val="000000" w:themeColor="text1"/>
                <w:sz w:val="18"/>
                <w:szCs w:val="18"/>
              </w:rPr>
              <w:t>LPV/r+2NRTI或含‌多替拉韦‌的方案</w:t>
            </w:r>
          </w:p>
        </w:tc>
      </w:tr>
      <w:tr w:rsidR="00110865">
        <w:trPr>
          <w:trHeight w:val="79"/>
          <w:jc w:val="center"/>
        </w:trPr>
        <w:tc>
          <w:tcPr>
            <w:tcW w:w="1118" w:type="pct"/>
            <w:vAlign w:val="center"/>
          </w:tcPr>
          <w:p w:rsidR="00110865" w:rsidRDefault="00943B26">
            <w:pPr>
              <w:widowControl/>
              <w:spacing w:line="240" w:lineRule="auto"/>
              <w:ind w:firstLineChars="50" w:firstLine="90"/>
              <w:textAlignment w:val="top"/>
              <w:rPr>
                <w:rFonts w:ascii="宋体" w:hAnsi="宋体" w:cs="宋体"/>
                <w:b/>
                <w:bCs/>
                <w:color w:val="000000" w:themeColor="text1"/>
                <w:kern w:val="0"/>
                <w:sz w:val="18"/>
                <w:szCs w:val="18"/>
                <w:lang w:bidi="ar"/>
              </w:rPr>
            </w:pPr>
            <w:r>
              <w:rPr>
                <w:rFonts w:ascii="宋体" w:hAnsi="宋体" w:cs="宋体" w:hint="eastAsia"/>
                <w:color w:val="000000" w:themeColor="text1"/>
                <w:kern w:val="0"/>
                <w:sz w:val="18"/>
                <w:szCs w:val="18"/>
                <w:lang w:bidi="ar"/>
              </w:rPr>
              <w:t>LPV/r类药物失败</w:t>
            </w:r>
          </w:p>
        </w:tc>
        <w:tc>
          <w:tcPr>
            <w:tcW w:w="1803" w:type="pct"/>
            <w:vAlign w:val="center"/>
          </w:tcPr>
          <w:p w:rsidR="00110865" w:rsidRDefault="00943B26">
            <w:pPr>
              <w:widowControl/>
              <w:spacing w:line="240" w:lineRule="auto"/>
              <w:jc w:val="left"/>
              <w:textAlignment w:val="top"/>
              <w:rPr>
                <w:rFonts w:ascii="宋体" w:hAnsi="宋体" w:cs="宋体"/>
                <w:color w:val="000000" w:themeColor="text1"/>
                <w:sz w:val="18"/>
                <w:szCs w:val="18"/>
              </w:rPr>
            </w:pPr>
            <w:r>
              <w:rPr>
                <w:rFonts w:ascii="宋体" w:hAnsi="宋体" w:cs="宋体"/>
                <w:color w:val="000000" w:themeColor="text1"/>
                <w:sz w:val="18"/>
                <w:szCs w:val="18"/>
                <w:lang w:bidi="ar"/>
              </w:rPr>
              <w:t>优先排查依从性，再考虑换药</w:t>
            </w:r>
          </w:p>
        </w:tc>
        <w:tc>
          <w:tcPr>
            <w:tcW w:w="2078" w:type="pct"/>
            <w:vAlign w:val="center"/>
          </w:tcPr>
          <w:p w:rsidR="00110865" w:rsidRDefault="00943B26">
            <w:pPr>
              <w:widowControl/>
              <w:numPr>
                <w:ilvl w:val="255"/>
                <w:numId w:val="0"/>
              </w:numPr>
              <w:spacing w:line="240" w:lineRule="auto"/>
              <w:ind w:firstLineChars="50" w:firstLine="90"/>
              <w:textAlignment w:val="top"/>
              <w:rPr>
                <w:rFonts w:ascii="宋体" w:hAnsi="宋体" w:cs="宋体"/>
                <w:color w:val="000000" w:themeColor="text1"/>
                <w:sz w:val="18"/>
                <w:szCs w:val="18"/>
              </w:rPr>
            </w:pPr>
            <w:r>
              <w:rPr>
                <w:rFonts w:ascii="宋体" w:hAnsi="宋体" w:cs="宋体" w:hint="eastAsia"/>
                <w:color w:val="000000" w:themeColor="text1"/>
                <w:sz w:val="18"/>
                <w:szCs w:val="18"/>
              </w:rPr>
              <w:t>1.</w:t>
            </w:r>
            <w:r>
              <w:rPr>
                <w:rFonts w:ascii="宋体" w:hAnsi="宋体" w:cs="宋体"/>
                <w:color w:val="000000" w:themeColor="text1"/>
                <w:sz w:val="18"/>
                <w:szCs w:val="18"/>
              </w:rPr>
              <w:t>改善服药依从性，3个月后复查病毒载量</w:t>
            </w:r>
            <w:r>
              <w:rPr>
                <w:rFonts w:ascii="宋体" w:hAnsi="宋体" w:cs="宋体" w:hint="eastAsia"/>
                <w:color w:val="000000" w:themeColor="text1"/>
                <w:sz w:val="18"/>
                <w:szCs w:val="18"/>
              </w:rPr>
              <w:t>。</w:t>
            </w:r>
          </w:p>
          <w:p w:rsidR="00110865" w:rsidRDefault="00943B26">
            <w:pPr>
              <w:widowControl/>
              <w:numPr>
                <w:ilvl w:val="255"/>
                <w:numId w:val="0"/>
              </w:numPr>
              <w:spacing w:line="240" w:lineRule="auto"/>
              <w:ind w:firstLineChars="50" w:firstLine="90"/>
              <w:textAlignment w:val="top"/>
              <w:rPr>
                <w:rFonts w:ascii="宋体" w:hAnsi="宋体" w:cs="宋体"/>
                <w:color w:val="000000" w:themeColor="text1"/>
                <w:sz w:val="18"/>
                <w:szCs w:val="18"/>
              </w:rPr>
            </w:pPr>
            <w:r>
              <w:rPr>
                <w:rFonts w:ascii="宋体" w:hAnsi="宋体" w:cs="宋体" w:hint="eastAsia"/>
                <w:color w:val="000000" w:themeColor="text1"/>
                <w:sz w:val="18"/>
                <w:szCs w:val="18"/>
              </w:rPr>
              <w:t>2.</w:t>
            </w:r>
            <w:r>
              <w:rPr>
                <w:rFonts w:ascii="宋体" w:hAnsi="宋体" w:cs="宋体"/>
                <w:color w:val="000000" w:themeColor="text1"/>
                <w:sz w:val="18"/>
                <w:szCs w:val="18"/>
              </w:rPr>
              <w:t>若病毒仍</w:t>
            </w:r>
            <w:r>
              <w:rPr>
                <w:rFonts w:ascii="宋体" w:hAnsi="宋体" w:cs="宋体" w:hint="eastAsia"/>
                <w:color w:val="000000" w:themeColor="text1"/>
                <w:sz w:val="18"/>
                <w:szCs w:val="18"/>
              </w:rPr>
              <w:t>未控制，进行HIV基因型耐药检测，根据耐药检测结果更换敏感药物。可</w:t>
            </w:r>
            <w:r>
              <w:rPr>
                <w:rFonts w:ascii="宋体" w:hAnsi="宋体" w:cs="宋体"/>
                <w:color w:val="000000" w:themeColor="text1"/>
                <w:sz w:val="18"/>
                <w:szCs w:val="18"/>
              </w:rPr>
              <w:t>换用DTG+2NRTI</w:t>
            </w:r>
            <w:r>
              <w:rPr>
                <w:rFonts w:ascii="宋体" w:hAnsi="宋体" w:cs="宋体" w:hint="eastAsia"/>
                <w:color w:val="000000" w:themeColor="text1"/>
                <w:sz w:val="18"/>
                <w:szCs w:val="18"/>
              </w:rPr>
              <w:t>或单片复方制剂</w:t>
            </w:r>
            <w:r>
              <w:rPr>
                <w:rFonts w:ascii="宋体" w:hAnsi="Times New Roman" w:hint="eastAsia"/>
                <w:color w:val="000000" w:themeColor="text1"/>
                <w:kern w:val="0"/>
                <w:sz w:val="18"/>
                <w:szCs w:val="18"/>
                <w:lang w:bidi="ar"/>
              </w:rPr>
              <w:t>E/C/F/TAF。</w:t>
            </w:r>
          </w:p>
          <w:p w:rsidR="00110865" w:rsidRDefault="00943B26">
            <w:pPr>
              <w:widowControl/>
              <w:numPr>
                <w:ilvl w:val="255"/>
                <w:numId w:val="0"/>
              </w:numPr>
              <w:spacing w:line="240" w:lineRule="auto"/>
              <w:ind w:firstLineChars="50" w:firstLine="90"/>
              <w:textAlignment w:val="top"/>
              <w:rPr>
                <w:rFonts w:ascii="宋体" w:hAnsi="宋体" w:cs="宋体"/>
                <w:color w:val="000000" w:themeColor="text1"/>
                <w:sz w:val="18"/>
                <w:szCs w:val="18"/>
              </w:rPr>
            </w:pPr>
            <w:r>
              <w:rPr>
                <w:rFonts w:ascii="宋体" w:hAnsi="宋体" w:cs="宋体" w:hint="eastAsia"/>
                <w:color w:val="000000" w:themeColor="text1"/>
                <w:sz w:val="18"/>
                <w:szCs w:val="18"/>
              </w:rPr>
              <w:t>3</w:t>
            </w:r>
            <w:r>
              <w:rPr>
                <w:rFonts w:ascii="宋体" w:hAnsi="宋体" w:cs="宋体"/>
                <w:color w:val="000000" w:themeColor="text1"/>
                <w:sz w:val="18"/>
                <w:szCs w:val="18"/>
              </w:rPr>
              <w:t>.若DTG</w:t>
            </w:r>
            <w:r>
              <w:rPr>
                <w:rFonts w:ascii="宋体" w:hAnsi="宋体" w:cs="宋体" w:hint="eastAsia"/>
                <w:color w:val="000000" w:themeColor="text1"/>
                <w:sz w:val="18"/>
                <w:szCs w:val="18"/>
              </w:rPr>
              <w:t>和</w:t>
            </w:r>
            <w:r>
              <w:rPr>
                <w:rFonts w:ascii="宋体" w:hAnsi="Times New Roman" w:hint="eastAsia"/>
                <w:color w:val="000000" w:themeColor="text1"/>
                <w:kern w:val="0"/>
                <w:sz w:val="18"/>
                <w:szCs w:val="18"/>
                <w:lang w:bidi="ar"/>
              </w:rPr>
              <w:t>E/C/F/TAF均</w:t>
            </w:r>
            <w:r>
              <w:rPr>
                <w:rFonts w:ascii="宋体" w:hAnsi="宋体" w:cs="宋体"/>
                <w:color w:val="000000" w:themeColor="text1"/>
                <w:sz w:val="18"/>
                <w:szCs w:val="18"/>
              </w:rPr>
              <w:t>不可及，或存在其他特殊情况，则提交至上级定点医疗机构或专家组进行</w:t>
            </w:r>
            <w:r>
              <w:rPr>
                <w:rFonts w:ascii="宋体" w:hAnsi="宋体" w:cs="宋体" w:hint="eastAsia"/>
                <w:color w:val="000000" w:themeColor="text1"/>
                <w:sz w:val="18"/>
                <w:szCs w:val="18"/>
              </w:rPr>
              <w:t>讨论。过渡期间可暂时继续使用</w:t>
            </w:r>
            <w:r>
              <w:rPr>
                <w:rFonts w:ascii="宋体" w:hAnsi="宋体" w:cs="宋体" w:hint="eastAsia"/>
                <w:color w:val="000000" w:themeColor="text1"/>
                <w:kern w:val="0"/>
                <w:sz w:val="18"/>
                <w:szCs w:val="18"/>
                <w:lang w:bidi="ar"/>
              </w:rPr>
              <w:t>LPV/r方案</w:t>
            </w:r>
            <w:r>
              <w:rPr>
                <w:rFonts w:ascii="宋体" w:hAnsi="宋体" w:cs="宋体" w:hint="eastAsia"/>
                <w:color w:val="000000" w:themeColor="text1"/>
                <w:sz w:val="18"/>
                <w:szCs w:val="18"/>
              </w:rPr>
              <w:t>，同时加强依从性教育和服药指导。</w:t>
            </w:r>
          </w:p>
        </w:tc>
      </w:tr>
      <w:tr w:rsidR="00110865">
        <w:trPr>
          <w:trHeight w:val="50"/>
          <w:jc w:val="center"/>
        </w:trPr>
        <w:tc>
          <w:tcPr>
            <w:tcW w:w="1118" w:type="pct"/>
            <w:vAlign w:val="center"/>
          </w:tcPr>
          <w:p w:rsidR="00110865" w:rsidRDefault="00943B26">
            <w:pPr>
              <w:widowControl/>
              <w:spacing w:line="240" w:lineRule="auto"/>
              <w:ind w:firstLineChars="50" w:firstLine="90"/>
              <w:textAlignment w:val="top"/>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NRTI类药物失败</w:t>
            </w:r>
          </w:p>
        </w:tc>
        <w:tc>
          <w:tcPr>
            <w:tcW w:w="1803" w:type="pct"/>
            <w:vAlign w:val="center"/>
          </w:tcPr>
          <w:p w:rsidR="00110865" w:rsidRDefault="00943B26">
            <w:pPr>
              <w:widowControl/>
              <w:spacing w:line="240" w:lineRule="auto"/>
              <w:jc w:val="left"/>
              <w:textAlignment w:val="top"/>
              <w:rPr>
                <w:rFonts w:ascii="宋体" w:hAnsi="宋体" w:cs="宋体"/>
                <w:color w:val="000000" w:themeColor="text1"/>
                <w:sz w:val="18"/>
                <w:szCs w:val="18"/>
              </w:rPr>
            </w:pPr>
            <w:r>
              <w:rPr>
                <w:rFonts w:ascii="宋体" w:hAnsi="宋体" w:cs="宋体" w:hint="eastAsia"/>
                <w:color w:val="000000" w:themeColor="text1"/>
                <w:kern w:val="0"/>
                <w:sz w:val="18"/>
                <w:szCs w:val="18"/>
                <w:lang w:bidi="ar"/>
              </w:rPr>
              <w:t>在方案调整中替换NRTI以减少交叉耐药</w:t>
            </w:r>
          </w:p>
        </w:tc>
        <w:tc>
          <w:tcPr>
            <w:tcW w:w="2078" w:type="pct"/>
            <w:vAlign w:val="center"/>
          </w:tcPr>
          <w:p w:rsidR="00110865" w:rsidRDefault="00943B26">
            <w:pPr>
              <w:widowControl/>
              <w:spacing w:line="240" w:lineRule="auto"/>
              <w:ind w:firstLineChars="50" w:firstLine="90"/>
              <w:textAlignment w:val="top"/>
              <w:rPr>
                <w:rFonts w:ascii="宋体" w:hAnsi="宋体" w:cs="宋体"/>
                <w:color w:val="000000" w:themeColor="text1"/>
                <w:sz w:val="18"/>
                <w:szCs w:val="18"/>
              </w:rPr>
            </w:pPr>
            <w:r>
              <w:rPr>
                <w:rFonts w:ascii="宋体" w:hAnsi="宋体" w:cs="宋体"/>
                <w:color w:val="000000" w:themeColor="text1"/>
                <w:sz w:val="18"/>
                <w:szCs w:val="18"/>
              </w:rPr>
              <w:t xml:space="preserve">1.ABC或TDF→更换为AZT </w:t>
            </w:r>
          </w:p>
          <w:p w:rsidR="00110865" w:rsidRDefault="00943B26">
            <w:pPr>
              <w:widowControl/>
              <w:spacing w:line="240" w:lineRule="auto"/>
              <w:ind w:firstLineChars="50" w:firstLine="90"/>
              <w:textAlignment w:val="top"/>
              <w:rPr>
                <w:rFonts w:ascii="宋体" w:hAnsi="宋体" w:cs="宋体"/>
                <w:color w:val="000000" w:themeColor="text1"/>
                <w:sz w:val="18"/>
                <w:szCs w:val="18"/>
              </w:rPr>
            </w:pPr>
            <w:r>
              <w:rPr>
                <w:rFonts w:ascii="宋体" w:hAnsi="宋体" w:cs="宋体"/>
                <w:color w:val="000000" w:themeColor="text1"/>
                <w:sz w:val="18"/>
                <w:szCs w:val="18"/>
              </w:rPr>
              <w:t>2.AZT→更换为TDF或ABC</w:t>
            </w:r>
          </w:p>
        </w:tc>
      </w:tr>
      <w:tr w:rsidR="00110865">
        <w:trPr>
          <w:trHeight w:val="50"/>
          <w:jc w:val="center"/>
        </w:trPr>
        <w:tc>
          <w:tcPr>
            <w:tcW w:w="5000" w:type="pct"/>
            <w:gridSpan w:val="3"/>
            <w:vAlign w:val="center"/>
          </w:tcPr>
          <w:p w:rsidR="00110865" w:rsidRDefault="00943B26">
            <w:pPr>
              <w:pStyle w:val="a5"/>
              <w:numPr>
                <w:ilvl w:val="0"/>
                <w:numId w:val="33"/>
              </w:numPr>
            </w:pPr>
            <w:r>
              <w:rPr>
                <w:rFonts w:hint="eastAsia"/>
                <w:lang w:bidi="ar"/>
              </w:rPr>
              <w:t>建议尽快进行耐</w:t>
            </w:r>
            <w:proofErr w:type="gramStart"/>
            <w:r>
              <w:rPr>
                <w:rFonts w:hint="eastAsia"/>
                <w:lang w:bidi="ar"/>
              </w:rPr>
              <w:t>药检测以指导</w:t>
            </w:r>
            <w:proofErr w:type="gramEnd"/>
            <w:r>
              <w:rPr>
                <w:rFonts w:hint="eastAsia"/>
                <w:lang w:bidi="ar"/>
              </w:rPr>
              <w:t>用药。</w:t>
            </w:r>
          </w:p>
          <w:p w:rsidR="00110865" w:rsidRDefault="00943B26">
            <w:pPr>
              <w:pStyle w:val="a5"/>
            </w:pPr>
            <w:r>
              <w:rPr>
                <w:rFonts w:hint="eastAsia"/>
                <w:lang w:bidi="ar"/>
              </w:rPr>
              <w:t>初始治疗失败后调整方案依据当地药物可及性、儿童年龄、体重及不良反应情况选择。</w:t>
            </w:r>
          </w:p>
          <w:p w:rsidR="00110865" w:rsidRDefault="00943B26">
            <w:pPr>
              <w:pStyle w:val="a5"/>
              <w:rPr>
                <w:lang w:bidi="ar"/>
              </w:rPr>
            </w:pPr>
            <w:r>
              <w:rPr>
                <w:rFonts w:hint="eastAsia"/>
                <w:lang w:bidi="ar"/>
              </w:rPr>
              <w:t>LPV/r初治失败通常不提示耐药，应重点评估服药依从性、药物储存与服用方式等。</w:t>
            </w:r>
          </w:p>
          <w:p w:rsidR="00110865" w:rsidRDefault="00943B26">
            <w:pPr>
              <w:pStyle w:val="a5"/>
            </w:pPr>
            <w:r>
              <w:rPr>
                <w:rFonts w:hint="eastAsia"/>
                <w:lang w:bidi="ar"/>
              </w:rPr>
              <w:t>替换时需综合考虑儿童耐药结果、骨髓抑制、肾功能及过敏史等情况。</w:t>
            </w:r>
          </w:p>
        </w:tc>
      </w:tr>
    </w:tbl>
    <w:p w:rsidR="00110865" w:rsidRDefault="00110865">
      <w:pPr>
        <w:pStyle w:val="afffffd"/>
        <w:ind w:firstLine="420"/>
      </w:pPr>
    </w:p>
    <w:p w:rsidR="00110865" w:rsidRDefault="00110865">
      <w:pPr>
        <w:pStyle w:val="afffffd"/>
        <w:ind w:firstLine="420"/>
      </w:pPr>
    </w:p>
    <w:p w:rsidR="00110865" w:rsidRDefault="00110865">
      <w:pPr>
        <w:pStyle w:val="afffffd"/>
        <w:ind w:firstLine="420"/>
        <w:sectPr w:rsidR="00110865">
          <w:headerReference w:type="even" r:id="rId46"/>
          <w:headerReference w:type="default" r:id="rId47"/>
          <w:footerReference w:type="even" r:id="rId48"/>
          <w:footerReference w:type="default" r:id="rId49"/>
          <w:pgSz w:w="11906" w:h="16838"/>
          <w:pgMar w:top="1928" w:right="1134" w:bottom="1134" w:left="1134" w:header="1418" w:footer="1134" w:gutter="284"/>
          <w:cols w:space="425"/>
          <w:formProt w:val="0"/>
          <w:docGrid w:linePitch="312"/>
        </w:sectPr>
      </w:pPr>
    </w:p>
    <w:p w:rsidR="00110865" w:rsidRDefault="00110865">
      <w:pPr>
        <w:pStyle w:val="af8"/>
        <w:rPr>
          <w:vanish w:val="0"/>
        </w:rPr>
      </w:pPr>
    </w:p>
    <w:p w:rsidR="00110865" w:rsidRDefault="00110865">
      <w:pPr>
        <w:pStyle w:val="afe"/>
        <w:rPr>
          <w:vanish w:val="0"/>
        </w:rPr>
      </w:pPr>
    </w:p>
    <w:p w:rsidR="00110865" w:rsidRDefault="00943B26">
      <w:pPr>
        <w:pStyle w:val="aff3"/>
        <w:spacing w:after="120"/>
      </w:pPr>
      <w:r>
        <w:br/>
      </w:r>
      <w:bookmarkStart w:id="135" w:name="_Toc216451277"/>
      <w:bookmarkStart w:id="136" w:name="_Toc216451305"/>
      <w:bookmarkStart w:id="137" w:name="_Toc224931569"/>
      <w:bookmarkStart w:id="138" w:name="_Toc224931460"/>
      <w:bookmarkStart w:id="139" w:name="_Toc224929966"/>
      <w:r>
        <w:rPr>
          <w:rFonts w:hint="eastAsia"/>
        </w:rPr>
        <w:t>（资料性）</w:t>
      </w:r>
      <w:r>
        <w:br/>
      </w:r>
      <w:bookmarkEnd w:id="135"/>
      <w:bookmarkEnd w:id="136"/>
      <w:r>
        <w:rPr>
          <w:rFonts w:hint="eastAsia"/>
          <w:color w:val="000000" w:themeColor="text1"/>
        </w:rPr>
        <w:t>HIV感染儿童疫苗接种建议</w:t>
      </w:r>
      <w:bookmarkEnd w:id="137"/>
      <w:bookmarkEnd w:id="138"/>
      <w:bookmarkEnd w:id="139"/>
    </w:p>
    <w:p w:rsidR="00110865" w:rsidRDefault="00943B26">
      <w:pPr>
        <w:pStyle w:val="afffffd"/>
        <w:ind w:firstLine="420"/>
      </w:pPr>
      <w:r>
        <w:rPr>
          <w:rFonts w:hint="eastAsia"/>
          <w:color w:val="000000" w:themeColor="text1"/>
        </w:rPr>
        <w:t>HIV感染儿童疫苗接种建议</w:t>
      </w:r>
      <w:r>
        <w:rPr>
          <w:rFonts w:hint="eastAsia"/>
        </w:rPr>
        <w:t>见表</w:t>
      </w:r>
      <w:r>
        <w:t>F</w:t>
      </w:r>
      <w:r>
        <w:rPr>
          <w:rFonts w:hint="eastAsia"/>
        </w:rPr>
        <w:t>.1。</w:t>
      </w:r>
    </w:p>
    <w:p w:rsidR="00110865" w:rsidRDefault="00943B26">
      <w:pPr>
        <w:pStyle w:val="aff"/>
        <w:spacing w:before="120" w:after="120"/>
      </w:pPr>
      <w:r>
        <w:rPr>
          <w:rFonts w:hint="eastAsia"/>
          <w:color w:val="000000" w:themeColor="text1"/>
        </w:rPr>
        <w:t>HIV感染儿童疫苗接种建议</w:t>
      </w:r>
    </w:p>
    <w:tbl>
      <w:tblPr>
        <w:tblStyle w:val="affffe"/>
        <w:tblW w:w="5082"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91"/>
        <w:gridCol w:w="1119"/>
        <w:gridCol w:w="1125"/>
        <w:gridCol w:w="1852"/>
        <w:gridCol w:w="3400"/>
      </w:tblGrid>
      <w:tr w:rsidR="00110865">
        <w:trPr>
          <w:jc w:val="center"/>
        </w:trPr>
        <w:tc>
          <w:tcPr>
            <w:tcW w:w="1049" w:type="pct"/>
            <w:tcBorders>
              <w:top w:val="single" w:sz="8" w:space="0" w:color="auto"/>
              <w:bottom w:val="single" w:sz="8" w:space="0" w:color="auto"/>
            </w:tcBorders>
            <w:vAlign w:val="center"/>
          </w:tcPr>
          <w:p w:rsidR="00110865" w:rsidRDefault="00943B26">
            <w:pPr>
              <w:snapToGrid w:val="0"/>
              <w:spacing w:line="240" w:lineRule="auto"/>
              <w:jc w:val="center"/>
              <w:rPr>
                <w:rFonts w:ascii="宋体" w:hAnsi="宋体"/>
                <w:sz w:val="18"/>
                <w:szCs w:val="18"/>
              </w:rPr>
            </w:pPr>
            <w:r>
              <w:rPr>
                <w:rFonts w:ascii="宋体" w:hAnsi="宋体" w:hint="eastAsia"/>
                <w:sz w:val="18"/>
                <w:szCs w:val="18"/>
              </w:rPr>
              <w:t>疫苗名称</w:t>
            </w:r>
          </w:p>
        </w:tc>
        <w:tc>
          <w:tcPr>
            <w:tcW w:w="590" w:type="pct"/>
            <w:tcBorders>
              <w:top w:val="single" w:sz="8" w:space="0" w:color="auto"/>
              <w:bottom w:val="single" w:sz="8" w:space="0" w:color="auto"/>
            </w:tcBorders>
            <w:vAlign w:val="center"/>
          </w:tcPr>
          <w:p w:rsidR="00110865" w:rsidRDefault="00943B26">
            <w:pPr>
              <w:snapToGrid w:val="0"/>
              <w:spacing w:line="240" w:lineRule="auto"/>
              <w:jc w:val="center"/>
              <w:rPr>
                <w:rFonts w:ascii="宋体" w:hAnsi="宋体"/>
                <w:sz w:val="18"/>
                <w:szCs w:val="18"/>
              </w:rPr>
            </w:pPr>
            <w:r>
              <w:rPr>
                <w:rFonts w:ascii="宋体" w:hAnsi="宋体" w:hint="eastAsia"/>
                <w:sz w:val="18"/>
                <w:szCs w:val="18"/>
              </w:rPr>
              <w:t>有症状或有免疫抑制</w:t>
            </w:r>
          </w:p>
        </w:tc>
        <w:tc>
          <w:tcPr>
            <w:tcW w:w="593" w:type="pct"/>
            <w:tcBorders>
              <w:top w:val="single" w:sz="8" w:space="0" w:color="auto"/>
              <w:bottom w:val="single" w:sz="8" w:space="0" w:color="auto"/>
            </w:tcBorders>
            <w:vAlign w:val="center"/>
          </w:tcPr>
          <w:p w:rsidR="00110865" w:rsidRDefault="00943B26">
            <w:pPr>
              <w:snapToGrid w:val="0"/>
              <w:spacing w:line="240" w:lineRule="auto"/>
              <w:jc w:val="center"/>
              <w:rPr>
                <w:rFonts w:ascii="宋体" w:hAnsi="宋体"/>
                <w:sz w:val="18"/>
                <w:szCs w:val="18"/>
              </w:rPr>
            </w:pPr>
            <w:r>
              <w:rPr>
                <w:rFonts w:ascii="宋体" w:hAnsi="宋体" w:hint="eastAsia"/>
                <w:sz w:val="18"/>
                <w:szCs w:val="18"/>
              </w:rPr>
              <w:t>无症状或无免疫抑制</w:t>
            </w:r>
          </w:p>
        </w:tc>
        <w:tc>
          <w:tcPr>
            <w:tcW w:w="976" w:type="pct"/>
            <w:tcBorders>
              <w:top w:val="single" w:sz="8" w:space="0" w:color="auto"/>
              <w:bottom w:val="single" w:sz="8" w:space="0" w:color="auto"/>
            </w:tcBorders>
            <w:vAlign w:val="center"/>
          </w:tcPr>
          <w:p w:rsidR="00110865" w:rsidRDefault="00943B26">
            <w:pPr>
              <w:snapToGrid w:val="0"/>
              <w:spacing w:line="240" w:lineRule="auto"/>
              <w:jc w:val="center"/>
              <w:rPr>
                <w:rFonts w:ascii="宋体" w:hAnsi="宋体"/>
                <w:sz w:val="18"/>
                <w:szCs w:val="18"/>
              </w:rPr>
            </w:pPr>
            <w:r>
              <w:rPr>
                <w:rFonts w:ascii="宋体" w:hAnsi="宋体" w:hint="eastAsia"/>
                <w:sz w:val="18"/>
                <w:szCs w:val="18"/>
              </w:rPr>
              <w:t>疫苗种类</w:t>
            </w:r>
          </w:p>
        </w:tc>
        <w:tc>
          <w:tcPr>
            <w:tcW w:w="1792" w:type="pct"/>
            <w:tcBorders>
              <w:top w:val="single" w:sz="8" w:space="0" w:color="auto"/>
              <w:bottom w:val="single" w:sz="8" w:space="0" w:color="auto"/>
            </w:tcBorders>
            <w:vAlign w:val="center"/>
          </w:tcPr>
          <w:p w:rsidR="00110865" w:rsidRDefault="00943B26">
            <w:pPr>
              <w:snapToGrid w:val="0"/>
              <w:spacing w:line="240" w:lineRule="auto"/>
              <w:jc w:val="center"/>
              <w:rPr>
                <w:rFonts w:ascii="宋体" w:hAnsi="宋体"/>
                <w:sz w:val="18"/>
                <w:szCs w:val="18"/>
              </w:rPr>
            </w:pPr>
            <w:r>
              <w:rPr>
                <w:rFonts w:ascii="宋体" w:hAnsi="宋体" w:hint="eastAsia"/>
                <w:sz w:val="18"/>
                <w:szCs w:val="18"/>
              </w:rPr>
              <w:t>接种时间</w:t>
            </w:r>
          </w:p>
        </w:tc>
      </w:tr>
      <w:tr w:rsidR="00110865">
        <w:trPr>
          <w:jc w:val="center"/>
        </w:trPr>
        <w:tc>
          <w:tcPr>
            <w:tcW w:w="1049" w:type="pct"/>
            <w:tcBorders>
              <w:top w:val="single" w:sz="8" w:space="0" w:color="auto"/>
            </w:tcBorders>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乙肝疫苗</w:t>
            </w:r>
          </w:p>
        </w:tc>
        <w:tc>
          <w:tcPr>
            <w:tcW w:w="590" w:type="pct"/>
            <w:tcBorders>
              <w:top w:val="single" w:sz="8" w:space="0" w:color="auto"/>
            </w:tcBorders>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tcBorders>
              <w:top w:val="single" w:sz="8" w:space="0" w:color="auto"/>
            </w:tcBorders>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tcBorders>
              <w:top w:val="single" w:sz="8" w:space="0" w:color="auto"/>
            </w:tcBorders>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Borders>
              <w:top w:val="single" w:sz="8" w:space="0" w:color="auto"/>
            </w:tcBorders>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0、1、6月龄各接种1剂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卡介苗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出生时接种1剂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脊髓灰质炎灭活疫苗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2、3月龄各接种1剂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脊髓灰质炎减毒活疫苗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4月龄、4岁各接种1剂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百白破疫苗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2、4、6、18月龄、6岁各接种1剂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proofErr w:type="gramStart"/>
            <w:r>
              <w:rPr>
                <w:rFonts w:ascii="宋体" w:hAnsi="宋体" w:hint="eastAsia"/>
                <w:sz w:val="18"/>
                <w:szCs w:val="18"/>
              </w:rPr>
              <w:t>麻腮风</w:t>
            </w:r>
            <w:proofErr w:type="gramEnd"/>
            <w:r>
              <w:rPr>
                <w:rFonts w:ascii="宋体" w:hAnsi="宋体" w:hint="eastAsia"/>
                <w:sz w:val="18"/>
                <w:szCs w:val="18"/>
              </w:rPr>
              <w:t>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8、18月龄各接种1剂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乙脑灭活疫苗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8月龄接种2剂，间隔7～10天，2周岁、6周岁各接种1剂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乙脑减毒活疫苗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8月龄、2周岁各接种1剂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A群流脑多糖疫苗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6、9月龄各接种1剂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A群C群流脑多糖疫苗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3周岁、6周岁各接种1剂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甲肝减毒活疫苗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18月龄接种1剂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甲肝灭活疫苗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国家免疫规划疫苗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18、24月龄各接种1剂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肺炎链球菌结合疫苗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非免疫规划疫苗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6周</w:t>
            </w:r>
            <w:proofErr w:type="gramStart"/>
            <w:r>
              <w:rPr>
                <w:rFonts w:ascii="宋体" w:hAnsi="宋体" w:hint="eastAsia"/>
                <w:sz w:val="18"/>
                <w:szCs w:val="18"/>
              </w:rPr>
              <w:t>龄</w:t>
            </w:r>
            <w:proofErr w:type="gramEnd"/>
            <w:r>
              <w:rPr>
                <w:rFonts w:ascii="宋体" w:hAnsi="宋体" w:hint="eastAsia"/>
                <w:sz w:val="18"/>
                <w:szCs w:val="18"/>
              </w:rPr>
              <w:t>以上，至少接种1剂PCV13，推荐结合疫苗</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流感嗜血杆菌疫苗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非免疫规划疫苗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2月龄以上，每隔1-2个月接种1剂，基础免疫3剂，18月龄加强1剂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人乳头瘤病毒疫苗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非免疫规划疫苗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9岁接种，接种2剂，间隔6个月</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水痘疫苗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非免疫规划疫苗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1岁后尽早接种，12-24月龄接种1剂，4-6岁接种1剂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轮状病毒疫苗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非免疫规划疫苗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6周龄～3岁之间，接种3剂</w:t>
            </w:r>
          </w:p>
        </w:tc>
      </w:tr>
      <w:tr w:rsidR="00110865">
        <w:trPr>
          <w:jc w:val="center"/>
        </w:trPr>
        <w:tc>
          <w:tcPr>
            <w:tcW w:w="1049" w:type="pct"/>
            <w:vAlign w:val="center"/>
          </w:tcPr>
          <w:p w:rsidR="00110865" w:rsidRDefault="00943B26">
            <w:pPr>
              <w:snapToGrid w:val="0"/>
              <w:spacing w:line="240" w:lineRule="auto"/>
              <w:ind w:firstLineChars="50" w:firstLine="90"/>
              <w:jc w:val="left"/>
              <w:rPr>
                <w:rFonts w:ascii="宋体" w:hAnsi="宋体"/>
                <w:sz w:val="18"/>
                <w:szCs w:val="18"/>
              </w:rPr>
            </w:pPr>
            <w:r>
              <w:rPr>
                <w:rFonts w:ascii="宋体" w:hAnsi="宋体" w:hint="eastAsia"/>
                <w:sz w:val="18"/>
                <w:szCs w:val="18"/>
              </w:rPr>
              <w:t>季节性流感疫苗</w:t>
            </w:r>
          </w:p>
        </w:tc>
        <w:tc>
          <w:tcPr>
            <w:tcW w:w="590"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593" w:type="pct"/>
            <w:vAlign w:val="center"/>
          </w:tcPr>
          <w:p w:rsidR="00110865" w:rsidRDefault="00943B26">
            <w:pPr>
              <w:snapToGrid w:val="0"/>
              <w:spacing w:line="240" w:lineRule="auto"/>
              <w:ind w:firstLineChars="100" w:firstLine="180"/>
              <w:jc w:val="center"/>
              <w:rPr>
                <w:rFonts w:ascii="宋体" w:hAnsi="宋体"/>
                <w:sz w:val="18"/>
                <w:szCs w:val="18"/>
              </w:rPr>
            </w:pPr>
            <w:r>
              <w:rPr>
                <w:rFonts w:ascii="宋体" w:hAnsi="宋体" w:hint="eastAsia"/>
                <w:sz w:val="18"/>
                <w:szCs w:val="18"/>
              </w:rPr>
              <w:t>√</w:t>
            </w:r>
          </w:p>
        </w:tc>
        <w:tc>
          <w:tcPr>
            <w:tcW w:w="976" w:type="pct"/>
            <w:vAlign w:val="center"/>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非免疫规划疫苗</w:t>
            </w:r>
          </w:p>
        </w:tc>
        <w:tc>
          <w:tcPr>
            <w:tcW w:w="1792" w:type="pct"/>
          </w:tcPr>
          <w:p w:rsidR="00110865" w:rsidRDefault="00943B26">
            <w:pPr>
              <w:snapToGrid w:val="0"/>
              <w:spacing w:line="240" w:lineRule="auto"/>
              <w:ind w:firstLineChars="50" w:firstLine="90"/>
              <w:rPr>
                <w:rFonts w:ascii="宋体" w:hAnsi="宋体"/>
                <w:sz w:val="18"/>
                <w:szCs w:val="18"/>
              </w:rPr>
            </w:pPr>
            <w:r>
              <w:rPr>
                <w:rFonts w:ascii="宋体" w:hAnsi="宋体" w:hint="eastAsia"/>
                <w:sz w:val="18"/>
                <w:szCs w:val="18"/>
              </w:rPr>
              <w:t>6月龄以上，每年流感季前，推荐接种灭活疫苗</w:t>
            </w:r>
          </w:p>
        </w:tc>
      </w:tr>
    </w:tbl>
    <w:p w:rsidR="00110865" w:rsidRDefault="00943B26">
      <w:pPr>
        <w:pStyle w:val="a5"/>
        <w:numPr>
          <w:ilvl w:val="0"/>
          <w:numId w:val="34"/>
        </w:numPr>
      </w:pPr>
      <w:r>
        <w:rPr>
          <w:rFonts w:hint="eastAsia"/>
        </w:rPr>
        <w:t>“√”表示建议接种，“×”表示不建议或禁忌接种。</w:t>
      </w:r>
    </w:p>
    <w:p w:rsidR="00110865" w:rsidRDefault="00943B26">
      <w:pPr>
        <w:pStyle w:val="a5"/>
      </w:pPr>
      <w:r>
        <w:rPr>
          <w:rFonts w:hint="eastAsia"/>
        </w:rPr>
        <w:t>接种时间仅供参考，具体接种程序请遵循</w:t>
      </w:r>
      <w:proofErr w:type="gramStart"/>
      <w:r>
        <w:rPr>
          <w:rFonts w:hint="eastAsia"/>
        </w:rPr>
        <w:t>当地疾控部门</w:t>
      </w:r>
      <w:proofErr w:type="gramEnd"/>
      <w:r>
        <w:rPr>
          <w:rFonts w:hint="eastAsia"/>
        </w:rPr>
        <w:t>或接种单位的指导。</w:t>
      </w:r>
    </w:p>
    <w:p w:rsidR="00110865" w:rsidRDefault="00943B26">
      <w:pPr>
        <w:pStyle w:val="a5"/>
      </w:pPr>
      <w:r>
        <w:rPr>
          <w:rFonts w:hint="eastAsia"/>
        </w:rPr>
        <w:t>部分疫苗存在多种剂型或接种程序，实际接种时请以疫苗说明书和医生建议为准。</w:t>
      </w:r>
    </w:p>
    <w:p w:rsidR="00110865" w:rsidRDefault="00943B26">
      <w:pPr>
        <w:pStyle w:val="a5"/>
      </w:pPr>
      <w:r>
        <w:rPr>
          <w:rFonts w:hint="eastAsia"/>
        </w:rPr>
        <w:t>免疫规划疫苗为国家免费提供，非免疫规划疫苗为自愿自费接种。</w:t>
      </w:r>
    </w:p>
    <w:p w:rsidR="00110865" w:rsidRDefault="00110865">
      <w:pPr>
        <w:pStyle w:val="afffffd"/>
        <w:ind w:firstLine="420"/>
      </w:pPr>
    </w:p>
    <w:p w:rsidR="00110865" w:rsidRDefault="00110865">
      <w:pPr>
        <w:pStyle w:val="afffffd"/>
        <w:ind w:firstLine="420"/>
      </w:pPr>
      <w:bookmarkStart w:id="140" w:name="BookMark6"/>
      <w:bookmarkEnd w:id="109"/>
    </w:p>
    <w:p w:rsidR="00110865" w:rsidRDefault="00110865"/>
    <w:p w:rsidR="00110865" w:rsidRDefault="00110865"/>
    <w:p w:rsidR="00110865" w:rsidRDefault="00110865"/>
    <w:p w:rsidR="00110865" w:rsidRDefault="00110865"/>
    <w:p w:rsidR="00110865" w:rsidRDefault="00110865"/>
    <w:p w:rsidR="00110865" w:rsidRDefault="00110865"/>
    <w:p w:rsidR="00110865" w:rsidRDefault="00110865"/>
    <w:p w:rsidR="00110865" w:rsidRDefault="00110865">
      <w:pPr>
        <w:jc w:val="right"/>
      </w:pPr>
    </w:p>
    <w:p w:rsidR="00110865" w:rsidRDefault="00943B26">
      <w:pPr>
        <w:pStyle w:val="affffff4"/>
        <w:spacing w:after="120"/>
      </w:pPr>
      <w:bookmarkStart w:id="141" w:name="_Toc216451313"/>
      <w:bookmarkStart w:id="142" w:name="_Toc216451285"/>
      <w:bookmarkStart w:id="143" w:name="_Toc216431482"/>
      <w:bookmarkStart w:id="144" w:name="_Toc224931461"/>
      <w:bookmarkStart w:id="145" w:name="_Toc224931570"/>
      <w:bookmarkStart w:id="146" w:name="_Toc224929967"/>
      <w:r>
        <w:rPr>
          <w:rFonts w:hint="eastAsia"/>
          <w:spacing w:val="105"/>
        </w:rPr>
        <w:lastRenderedPageBreak/>
        <w:t>参考文</w:t>
      </w:r>
      <w:r>
        <w:rPr>
          <w:rFonts w:hint="eastAsia"/>
        </w:rPr>
        <w:t>献</w:t>
      </w:r>
      <w:bookmarkEnd w:id="141"/>
      <w:bookmarkEnd w:id="142"/>
      <w:bookmarkEnd w:id="143"/>
      <w:bookmarkEnd w:id="144"/>
      <w:bookmarkEnd w:id="145"/>
      <w:bookmarkEnd w:id="146"/>
    </w:p>
    <w:p w:rsidR="00110865" w:rsidRDefault="00943B26">
      <w:pPr>
        <w:pStyle w:val="afffffd"/>
        <w:numPr>
          <w:ilvl w:val="0"/>
          <w:numId w:val="35"/>
        </w:numPr>
        <w:ind w:firstLine="420"/>
        <w:rPr>
          <w:color w:val="000000" w:themeColor="text1"/>
        </w:rPr>
      </w:pPr>
      <w:bookmarkStart w:id="147" w:name="_Hlk224769240"/>
      <w:r>
        <w:rPr>
          <w:rFonts w:hint="eastAsia"/>
          <w:color w:val="000000" w:themeColor="text1"/>
        </w:rPr>
        <w:t xml:space="preserve"> </w:t>
      </w:r>
      <w:r>
        <w:rPr>
          <w:color w:val="000000" w:themeColor="text1"/>
        </w:rPr>
        <w:t xml:space="preserve"> </w:t>
      </w:r>
      <w:r>
        <w:rPr>
          <w:rFonts w:hint="eastAsia"/>
          <w:color w:val="000000" w:themeColor="text1"/>
        </w:rPr>
        <w:t>中华医学会感染病学分会艾滋病学组,中国疾病预防控制中心.中国艾滋病诊疗指南（2024版）[J].中国预防医学杂志,2024,25(12):1469-1497.</w:t>
      </w:r>
    </w:p>
    <w:p w:rsidR="00110865" w:rsidRDefault="00943B26">
      <w:pPr>
        <w:pStyle w:val="afffffd"/>
        <w:ind w:firstLine="420"/>
        <w:rPr>
          <w:color w:val="000000" w:themeColor="text1"/>
        </w:rPr>
      </w:pPr>
      <w:r>
        <w:rPr>
          <w:rFonts w:hint="eastAsia"/>
          <w:color w:val="000000" w:themeColor="text1"/>
        </w:rPr>
        <w:t>[2]</w:t>
      </w:r>
      <w:r>
        <w:rPr>
          <w:color w:val="000000" w:themeColor="text1"/>
        </w:rPr>
        <w:t xml:space="preserve">  </w:t>
      </w:r>
      <w:r>
        <w:rPr>
          <w:rFonts w:hint="eastAsia"/>
          <w:color w:val="000000" w:themeColor="text1"/>
        </w:rPr>
        <w:t>中国疾病预防控制中心.全国艾滋病检测技术规范（2025年修订版）[S/OL].(2025-10-24).</w:t>
      </w:r>
    </w:p>
    <w:p w:rsidR="00110865" w:rsidRDefault="00943B26">
      <w:pPr>
        <w:pStyle w:val="afffffd"/>
        <w:ind w:firstLine="420"/>
        <w:rPr>
          <w:color w:val="000000" w:themeColor="text1"/>
        </w:rPr>
      </w:pPr>
      <w:r>
        <w:rPr>
          <w:rFonts w:hint="eastAsia"/>
          <w:color w:val="000000" w:themeColor="text1"/>
        </w:rPr>
        <w:t>[3]</w:t>
      </w:r>
      <w:r>
        <w:rPr>
          <w:color w:val="000000" w:themeColor="text1"/>
        </w:rPr>
        <w:t xml:space="preserve"> </w:t>
      </w:r>
      <w:r>
        <w:rPr>
          <w:rFonts w:hint="eastAsia"/>
        </w:rPr>
        <w:t>儿童健康检查服务技术规范(卫办</w:t>
      </w:r>
      <w:proofErr w:type="gramStart"/>
      <w:r>
        <w:rPr>
          <w:rFonts w:hint="eastAsia"/>
        </w:rPr>
        <w:t>妇社发</w:t>
      </w:r>
      <w:proofErr w:type="gramEnd"/>
      <w:r>
        <w:rPr>
          <w:rFonts w:hint="eastAsia"/>
        </w:rPr>
        <w:t>[2012]49号)[J].中国儿童保健杂志,2012,20(10):956-958.</w:t>
      </w:r>
    </w:p>
    <w:p w:rsidR="00110865" w:rsidRDefault="00943B26">
      <w:pPr>
        <w:pStyle w:val="afffffd"/>
        <w:ind w:firstLine="420"/>
        <w:rPr>
          <w:color w:val="000000" w:themeColor="text1"/>
        </w:rPr>
      </w:pPr>
      <w:r>
        <w:rPr>
          <w:rFonts w:hint="eastAsia"/>
          <w:color w:val="000000" w:themeColor="text1"/>
        </w:rPr>
        <w:t>[4]国家卫生和计划生育委员会.儿童心理保健技术规范[EB/OL].(2013-04-</w:t>
      </w:r>
      <w:proofErr w:type="gramStart"/>
      <w:r>
        <w:rPr>
          <w:rFonts w:hint="eastAsia"/>
          <w:color w:val="000000" w:themeColor="text1"/>
        </w:rPr>
        <w:t>15)[</w:t>
      </w:r>
      <w:proofErr w:type="gramEnd"/>
      <w:r>
        <w:rPr>
          <w:rFonts w:hint="eastAsia"/>
          <w:color w:val="000000" w:themeColor="text1"/>
        </w:rPr>
        <w:t>2026-02-27].https://www.nhc.gov.cn/fys/s3585/201304/bfb996a2b8b3456da76d6ad6edb39d76.shtml.</w:t>
      </w:r>
    </w:p>
    <w:p w:rsidR="00110865" w:rsidRDefault="00943B26">
      <w:pPr>
        <w:pStyle w:val="afffffd"/>
        <w:ind w:firstLine="420"/>
        <w:rPr>
          <w:color w:val="000000" w:themeColor="text1"/>
        </w:rPr>
      </w:pPr>
      <w:r>
        <w:rPr>
          <w:rFonts w:hint="eastAsia"/>
          <w:color w:val="000000" w:themeColor="text1"/>
        </w:rPr>
        <w:t>[5]</w:t>
      </w:r>
      <w:r>
        <w:rPr>
          <w:color w:val="000000" w:themeColor="text1"/>
        </w:rPr>
        <w:t xml:space="preserve">  </w:t>
      </w:r>
      <w:r>
        <w:rPr>
          <w:rFonts w:hint="eastAsia"/>
          <w:color w:val="000000" w:themeColor="text1"/>
        </w:rPr>
        <w:t>儿童发育行为心理评定量表第2版.人民卫生出版社：202304.杨玉凤.儿童发育行为心理评定量表[M].第2版.北京:人民卫生出版社,2023.</w:t>
      </w:r>
    </w:p>
    <w:p w:rsidR="00110865" w:rsidRDefault="00943B26">
      <w:pPr>
        <w:pStyle w:val="afffffd"/>
        <w:ind w:firstLine="420"/>
        <w:rPr>
          <w:color w:val="000000" w:themeColor="text1"/>
        </w:rPr>
      </w:pPr>
      <w:r>
        <w:rPr>
          <w:rFonts w:hint="eastAsia"/>
          <w:color w:val="000000" w:themeColor="text1"/>
        </w:rPr>
        <w:t>[6]</w:t>
      </w:r>
      <w:r>
        <w:rPr>
          <w:color w:val="000000" w:themeColor="text1"/>
        </w:rPr>
        <w:t xml:space="preserve">  </w:t>
      </w:r>
      <w:r>
        <w:rPr>
          <w:rFonts w:hint="eastAsia"/>
          <w:color w:val="000000" w:themeColor="text1"/>
        </w:rPr>
        <w:t>中国疾病预防控制中心性病艾滋病预防控制中心.</w:t>
      </w:r>
      <w:bookmarkStart w:id="148" w:name="_Hlk224774634"/>
      <w:r>
        <w:rPr>
          <w:rFonts w:hint="eastAsia"/>
          <w:color w:val="000000" w:themeColor="text1"/>
        </w:rPr>
        <w:t>国家免费艾滋病抗病毒药物治疗手册</w:t>
      </w:r>
      <w:bookmarkEnd w:id="148"/>
      <w:r>
        <w:rPr>
          <w:rFonts w:hint="eastAsia"/>
          <w:color w:val="000000" w:themeColor="text1"/>
        </w:rPr>
        <w:t>[M].5版.北京:人民卫生出版社,2023.</w:t>
      </w:r>
    </w:p>
    <w:p w:rsidR="00110865" w:rsidRDefault="00943B26">
      <w:pPr>
        <w:pStyle w:val="afffffd"/>
        <w:ind w:firstLine="420"/>
        <w:rPr>
          <w:color w:val="000000" w:themeColor="text1"/>
        </w:rPr>
      </w:pPr>
      <w:r>
        <w:rPr>
          <w:rFonts w:hint="eastAsia"/>
          <w:color w:val="000000" w:themeColor="text1"/>
        </w:rPr>
        <w:t>[7]</w:t>
      </w:r>
      <w:r>
        <w:rPr>
          <w:color w:val="000000" w:themeColor="text1"/>
        </w:rPr>
        <w:t xml:space="preserve">  </w:t>
      </w:r>
      <w:r>
        <w:rPr>
          <w:rFonts w:hint="eastAsia"/>
          <w:color w:val="000000" w:themeColor="text1"/>
        </w:rPr>
        <w:t>中华人民共和国国家卫生健康委员会.艾滋病和艾滋病病毒感染诊断:WS 293—2019[S]. 2019-01-02.</w:t>
      </w:r>
    </w:p>
    <w:p w:rsidR="00110865" w:rsidRDefault="00943B26">
      <w:pPr>
        <w:pStyle w:val="afffffd"/>
        <w:ind w:firstLine="420"/>
        <w:rPr>
          <w:color w:val="000000" w:themeColor="text1"/>
        </w:rPr>
      </w:pPr>
      <w:r>
        <w:rPr>
          <w:rFonts w:hint="eastAsia"/>
          <w:color w:val="000000" w:themeColor="text1"/>
        </w:rPr>
        <w:t>[8]  广东省医师协会儿科医师分会.特殊状态儿童预防接种(广东)专家共识[J].中华实用儿科临床杂志,2020,35(06):401-410.</w:t>
      </w:r>
    </w:p>
    <w:p w:rsidR="00110865" w:rsidRDefault="00943B26">
      <w:pPr>
        <w:pStyle w:val="afffffd"/>
        <w:ind w:firstLine="420"/>
      </w:pPr>
      <w:r>
        <w:rPr>
          <w:rFonts w:hint="eastAsia"/>
          <w:color w:val="000000" w:themeColor="text1"/>
        </w:rPr>
        <w:t>[9] 国家免疫规划疫苗儿童免疫程序及说明(2021年版)[J].中国病毒病杂志,2021,11(04):241-245.</w:t>
      </w:r>
      <w:bookmarkEnd w:id="147"/>
    </w:p>
    <w:p w:rsidR="00110865" w:rsidRDefault="00110865">
      <w:pPr>
        <w:pStyle w:val="afffffd"/>
        <w:ind w:firstLine="420"/>
      </w:pPr>
    </w:p>
    <w:p w:rsidR="00110865" w:rsidRDefault="00943B26">
      <w:pPr>
        <w:pStyle w:val="afffffd"/>
        <w:ind w:firstLineChars="0" w:firstLine="0"/>
        <w:jc w:val="center"/>
      </w:pPr>
      <w:bookmarkStart w:id="149" w:name="BookMark8"/>
      <w:bookmarkEnd w:id="140"/>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5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9"/>
    </w:p>
    <w:sectPr w:rsidR="00110865">
      <w:headerReference w:type="even" r:id="rId51"/>
      <w:headerReference w:type="default" r:id="rId52"/>
      <w:footerReference w:type="even" r:id="rId53"/>
      <w:footerReference w:type="default" r:id="rId5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818" w:rsidRDefault="00335818">
      <w:pPr>
        <w:spacing w:line="240" w:lineRule="auto"/>
      </w:pPr>
      <w:r>
        <w:separator/>
      </w:r>
    </w:p>
  </w:endnote>
  <w:endnote w:type="continuationSeparator" w:id="0">
    <w:p w:rsidR="00335818" w:rsidRDefault="003358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黑体y....."/>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亰.."/>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2"/>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11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14</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15</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16</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110865">
    <w:pPr>
      <w:pStyle w:val="affff2"/>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19</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110865">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9"/>
    </w:pPr>
    <w:r>
      <w:fldChar w:fldCharType="begin"/>
    </w:r>
    <w:r>
      <w:instrText xml:space="preserve"> PAGE   \* MERGEFORMAT \* MERGEFORMAT </w:instrText>
    </w:r>
    <w:r>
      <w:fldChar w:fldCharType="separate"/>
    </w:r>
    <w: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a"/>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818" w:rsidRDefault="00335818">
      <w:pPr>
        <w:spacing w:line="240" w:lineRule="auto"/>
      </w:pPr>
      <w:r>
        <w:separator/>
      </w:r>
    </w:p>
  </w:footnote>
  <w:footnote w:type="continuationSeparator" w:id="0">
    <w:p w:rsidR="00335818" w:rsidRDefault="003358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110865">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FC5BA8">
      <w:rPr>
        <w:noProof/>
      </w:rPr>
      <w:t>T/GXAS XXXX</w:t>
    </w:r>
    <w:r w:rsidR="00FC5BA8">
      <w:rPr>
        <w:noProof/>
      </w:rPr>
      <w:t>—</w:t>
    </w:r>
    <w:r w:rsidR="00FC5BA8">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5878C7">
      <w:rPr>
        <w:noProof/>
      </w:rPr>
      <w:t>T/GXAS XXXX</w:t>
    </w:r>
    <w:r w:rsidR="005878C7">
      <w:rPr>
        <w:noProof/>
      </w:rPr>
      <w:t>—</w:t>
    </w:r>
    <w:r w:rsidR="005878C7">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FC5BA8">
      <w:rPr>
        <w:noProof/>
      </w:rPr>
      <w:t>T/GXAS XXXX</w:t>
    </w:r>
    <w:r w:rsidR="00FC5BA8">
      <w:rPr>
        <w:noProof/>
      </w:rPr>
      <w:t>—</w:t>
    </w:r>
    <w:r w:rsidR="00FC5BA8">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5878C7">
      <w:rPr>
        <w:noProof/>
      </w:rPr>
      <w:t>T/GXAS XXXX</w:t>
    </w:r>
    <w:r w:rsidR="005878C7">
      <w:rPr>
        <w:noProof/>
      </w:rPr>
      <w:t>—</w:t>
    </w:r>
    <w:r w:rsidR="005878C7">
      <w:rPr>
        <w:noProof/>
      </w:rPr>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5878C7">
      <w:rPr>
        <w:noProof/>
      </w:rPr>
      <w:t>T/GXAS XXXX</w:t>
    </w:r>
    <w:r w:rsidR="005878C7">
      <w:rPr>
        <w:noProof/>
      </w:rPr>
      <w:t>—</w:t>
    </w:r>
    <w:r w:rsidR="005878C7">
      <w:rPr>
        <w:noProof/>
      </w:rPr>
      <w:t>XXXX</w:t>
    </w:r>
    <w:r>
      <w:rPr>
        <w:rFonts w:hint="eastAsi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FC5BA8">
      <w:rPr>
        <w:noProof/>
      </w:rPr>
      <w:t>T/GXAS XXXX</w:t>
    </w:r>
    <w:r w:rsidR="00FC5BA8">
      <w:rPr>
        <w:noProof/>
      </w:rPr>
      <w:t>—</w:t>
    </w:r>
    <w:r w:rsidR="00FC5BA8">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FC5BA8">
      <w:rPr>
        <w:noProof/>
      </w:rPr>
      <w:t>T/GXAS XXXX</w:t>
    </w:r>
    <w:r w:rsidR="00FC5BA8">
      <w:rPr>
        <w:noProof/>
      </w:rPr>
      <w:t>—</w:t>
    </w:r>
    <w:r w:rsidR="00FC5BA8">
      <w:rPr>
        <w:noProof/>
      </w:rPr>
      <w:t>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110865">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FC5BA8">
      <w:rPr>
        <w:noProof/>
      </w:rPr>
      <w:t>T/GXAS XXXX</w:t>
    </w:r>
    <w:r w:rsidR="00FC5BA8">
      <w:rPr>
        <w:noProof/>
      </w:rPr>
      <w:t>—</w:t>
    </w:r>
    <w:r w:rsidR="00FC5BA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3"/>
    </w:pPr>
    <w:r>
      <w:rPr>
        <w:rFonts w:hint="eastAsia"/>
      </w:rPr>
      <w:fldChar w:fldCharType="begin"/>
    </w:r>
    <w:r>
      <w:rPr>
        <w:rFonts w:hint="eastAsia"/>
      </w:rPr>
      <w:instrText xml:space="preserve"> STYLEREF  标准文件_文件编号 \* MERGEFORMAT </w:instrText>
    </w:r>
    <w:r>
      <w:rPr>
        <w:rFonts w:hint="eastAsia"/>
      </w:rPr>
      <w:fldChar w:fldCharType="separate"/>
    </w:r>
    <w:r w:rsidR="00FC5BA8">
      <w:rPr>
        <w:noProof/>
      </w:rPr>
      <w:t>T/GXAS XXXX</w:t>
    </w:r>
    <w:r w:rsidR="00FC5BA8">
      <w:rPr>
        <w:noProof/>
      </w:rPr>
      <w:t>—</w:t>
    </w:r>
    <w:r w:rsidR="00FC5BA8">
      <w:rPr>
        <w:noProof/>
      </w:rPr>
      <w:t>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5" w:rsidRDefault="00943B26">
    <w:pPr>
      <w:pStyle w:val="affffff2"/>
    </w:pPr>
    <w:r>
      <w:fldChar w:fldCharType="begin"/>
    </w:r>
    <w:r>
      <w:instrText xml:space="preserve"> STYLEREF  标准文件_文件编号  \* MERGEFORMAT </w:instrText>
    </w:r>
    <w:r>
      <w:fldChar w:fldCharType="separate"/>
    </w:r>
    <w:r w:rsidR="00FC5BA8">
      <w:rPr>
        <w:noProof/>
      </w:rPr>
      <w:t>T/GXAS XXXX</w:t>
    </w:r>
    <w:r w:rsidR="00FC5BA8">
      <w:rPr>
        <w:noProof/>
      </w:rPr>
      <w:t>—</w:t>
    </w:r>
    <w:r w:rsidR="00FC5BA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D96E9A"/>
    <w:multiLevelType w:val="singleLevel"/>
    <w:tmpl w:val="C2D96E9A"/>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5iPw/92EQah4ZYlMdbcTIoVOV33LdZoLBslKqHP8avW4Do8AhWiwqR1SlMi581BiZiyzOFyEiIuo3AcUvRwVjQ==" w:salt="hiEXaMcA902cuNXMO9x7Tw=="/>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EwMTZhMDZjYjM0NjFlMWU5NmQ4YTQ2MjZkN2JhYzQifQ=="/>
  </w:docVars>
  <w:rsids>
    <w:rsidRoot w:val="000925CE"/>
    <w:rsid w:val="0000040A"/>
    <w:rsid w:val="00000A94"/>
    <w:rsid w:val="00001972"/>
    <w:rsid w:val="00001D9A"/>
    <w:rsid w:val="00002972"/>
    <w:rsid w:val="00007B3A"/>
    <w:rsid w:val="000107E0"/>
    <w:rsid w:val="00011FDE"/>
    <w:rsid w:val="00012FFD"/>
    <w:rsid w:val="00014162"/>
    <w:rsid w:val="00014340"/>
    <w:rsid w:val="0001510D"/>
    <w:rsid w:val="00016A9C"/>
    <w:rsid w:val="00022184"/>
    <w:rsid w:val="00022762"/>
    <w:rsid w:val="0002371B"/>
    <w:rsid w:val="000238E0"/>
    <w:rsid w:val="000249DB"/>
    <w:rsid w:val="0002595E"/>
    <w:rsid w:val="000303C3"/>
    <w:rsid w:val="000331D3"/>
    <w:rsid w:val="000346A5"/>
    <w:rsid w:val="000359C3"/>
    <w:rsid w:val="00035A7D"/>
    <w:rsid w:val="000365ED"/>
    <w:rsid w:val="0004249A"/>
    <w:rsid w:val="00043282"/>
    <w:rsid w:val="000435AF"/>
    <w:rsid w:val="00044034"/>
    <w:rsid w:val="00044286"/>
    <w:rsid w:val="00047F28"/>
    <w:rsid w:val="000503AA"/>
    <w:rsid w:val="000506A1"/>
    <w:rsid w:val="000515DD"/>
    <w:rsid w:val="0005223E"/>
    <w:rsid w:val="0005265A"/>
    <w:rsid w:val="00052F95"/>
    <w:rsid w:val="000539DD"/>
    <w:rsid w:val="00053BD3"/>
    <w:rsid w:val="000556ED"/>
    <w:rsid w:val="00055FE2"/>
    <w:rsid w:val="0005616F"/>
    <w:rsid w:val="00060C2E"/>
    <w:rsid w:val="00061033"/>
    <w:rsid w:val="000619E9"/>
    <w:rsid w:val="000622D4"/>
    <w:rsid w:val="0006357D"/>
    <w:rsid w:val="00065A71"/>
    <w:rsid w:val="0006637D"/>
    <w:rsid w:val="00067F1E"/>
    <w:rsid w:val="00071CC0"/>
    <w:rsid w:val="00071CFC"/>
    <w:rsid w:val="00073896"/>
    <w:rsid w:val="00073C8C"/>
    <w:rsid w:val="00076382"/>
    <w:rsid w:val="00076796"/>
    <w:rsid w:val="00077B64"/>
    <w:rsid w:val="00080760"/>
    <w:rsid w:val="00080A1C"/>
    <w:rsid w:val="00082317"/>
    <w:rsid w:val="00083D2C"/>
    <w:rsid w:val="0008400C"/>
    <w:rsid w:val="00086AA1"/>
    <w:rsid w:val="00087A77"/>
    <w:rsid w:val="00090CA6"/>
    <w:rsid w:val="000925CE"/>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D39"/>
    <w:rsid w:val="000B6A0B"/>
    <w:rsid w:val="000C0F6C"/>
    <w:rsid w:val="000C11DB"/>
    <w:rsid w:val="000C1492"/>
    <w:rsid w:val="000C20A0"/>
    <w:rsid w:val="000C2FBD"/>
    <w:rsid w:val="000C4B41"/>
    <w:rsid w:val="000C57D6"/>
    <w:rsid w:val="000C6362"/>
    <w:rsid w:val="000C7666"/>
    <w:rsid w:val="000D0A9C"/>
    <w:rsid w:val="000D1795"/>
    <w:rsid w:val="000D329A"/>
    <w:rsid w:val="000D3A15"/>
    <w:rsid w:val="000D4B9C"/>
    <w:rsid w:val="000D4C99"/>
    <w:rsid w:val="000D4EB6"/>
    <w:rsid w:val="000D753B"/>
    <w:rsid w:val="000E4C9E"/>
    <w:rsid w:val="000E6FD7"/>
    <w:rsid w:val="000E7144"/>
    <w:rsid w:val="000F06E1"/>
    <w:rsid w:val="000F0E3C"/>
    <w:rsid w:val="000F19D5"/>
    <w:rsid w:val="000F4050"/>
    <w:rsid w:val="000F4AEA"/>
    <w:rsid w:val="000F67E9"/>
    <w:rsid w:val="00101112"/>
    <w:rsid w:val="00101E6B"/>
    <w:rsid w:val="00103269"/>
    <w:rsid w:val="00104926"/>
    <w:rsid w:val="00110865"/>
    <w:rsid w:val="0011095C"/>
    <w:rsid w:val="00113B1E"/>
    <w:rsid w:val="0011711C"/>
    <w:rsid w:val="00121BFA"/>
    <w:rsid w:val="00124E4F"/>
    <w:rsid w:val="00124F67"/>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DA7"/>
    <w:rsid w:val="00156E1A"/>
    <w:rsid w:val="00157894"/>
    <w:rsid w:val="00157B55"/>
    <w:rsid w:val="001610FC"/>
    <w:rsid w:val="001642FA"/>
    <w:rsid w:val="001649EB"/>
    <w:rsid w:val="00164BAF"/>
    <w:rsid w:val="00164FA8"/>
    <w:rsid w:val="00165065"/>
    <w:rsid w:val="00165434"/>
    <w:rsid w:val="0016580B"/>
    <w:rsid w:val="00165F49"/>
    <w:rsid w:val="00166B88"/>
    <w:rsid w:val="0016770A"/>
    <w:rsid w:val="00170804"/>
    <w:rsid w:val="001708E9"/>
    <w:rsid w:val="00173355"/>
    <w:rsid w:val="0017340B"/>
    <w:rsid w:val="00173FB1"/>
    <w:rsid w:val="00174CD5"/>
    <w:rsid w:val="00176DFD"/>
    <w:rsid w:val="001772F4"/>
    <w:rsid w:val="001852C9"/>
    <w:rsid w:val="00187A0B"/>
    <w:rsid w:val="00190087"/>
    <w:rsid w:val="001913C4"/>
    <w:rsid w:val="0019348F"/>
    <w:rsid w:val="00193A07"/>
    <w:rsid w:val="00194C95"/>
    <w:rsid w:val="001951FD"/>
    <w:rsid w:val="00195C34"/>
    <w:rsid w:val="00196EF5"/>
    <w:rsid w:val="001A1A53"/>
    <w:rsid w:val="001A234A"/>
    <w:rsid w:val="001A4716"/>
    <w:rsid w:val="001A4CF3"/>
    <w:rsid w:val="001A6696"/>
    <w:rsid w:val="001B06E8"/>
    <w:rsid w:val="001B375A"/>
    <w:rsid w:val="001B71D0"/>
    <w:rsid w:val="001B71EE"/>
    <w:rsid w:val="001C04A8"/>
    <w:rsid w:val="001C2C03"/>
    <w:rsid w:val="001C42F7"/>
    <w:rsid w:val="001C43FC"/>
    <w:rsid w:val="001C49E5"/>
    <w:rsid w:val="001C66D2"/>
    <w:rsid w:val="001C680C"/>
    <w:rsid w:val="001C7A46"/>
    <w:rsid w:val="001C7FEA"/>
    <w:rsid w:val="001D0499"/>
    <w:rsid w:val="001D0BBE"/>
    <w:rsid w:val="001D0ED4"/>
    <w:rsid w:val="001D212F"/>
    <w:rsid w:val="001D29D7"/>
    <w:rsid w:val="001D2DE7"/>
    <w:rsid w:val="001D411C"/>
    <w:rsid w:val="001E1B6A"/>
    <w:rsid w:val="001E2484"/>
    <w:rsid w:val="001E3CC4"/>
    <w:rsid w:val="001E4882"/>
    <w:rsid w:val="001E675C"/>
    <w:rsid w:val="001E73AB"/>
    <w:rsid w:val="001F092D"/>
    <w:rsid w:val="001F143A"/>
    <w:rsid w:val="001F1605"/>
    <w:rsid w:val="001F2508"/>
    <w:rsid w:val="001F47BE"/>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145"/>
    <w:rsid w:val="002253A1"/>
    <w:rsid w:val="00225CF8"/>
    <w:rsid w:val="0022794E"/>
    <w:rsid w:val="002323C6"/>
    <w:rsid w:val="00232713"/>
    <w:rsid w:val="00233D64"/>
    <w:rsid w:val="0023482A"/>
    <w:rsid w:val="002359CB"/>
    <w:rsid w:val="00240ADB"/>
    <w:rsid w:val="00243540"/>
    <w:rsid w:val="0024497B"/>
    <w:rsid w:val="0024515B"/>
    <w:rsid w:val="00246021"/>
    <w:rsid w:val="0024666E"/>
    <w:rsid w:val="00246FA7"/>
    <w:rsid w:val="00247F52"/>
    <w:rsid w:val="00250B25"/>
    <w:rsid w:val="00250BBE"/>
    <w:rsid w:val="002515C2"/>
    <w:rsid w:val="0025194F"/>
    <w:rsid w:val="0026148A"/>
    <w:rsid w:val="00262696"/>
    <w:rsid w:val="00263D25"/>
    <w:rsid w:val="002643C3"/>
    <w:rsid w:val="00264A0C"/>
    <w:rsid w:val="00264C86"/>
    <w:rsid w:val="00266EEB"/>
    <w:rsid w:val="00267EF4"/>
    <w:rsid w:val="002701D7"/>
    <w:rsid w:val="00270CB8"/>
    <w:rsid w:val="0027212A"/>
    <w:rsid w:val="00272B08"/>
    <w:rsid w:val="00281BB8"/>
    <w:rsid w:val="00281E9E"/>
    <w:rsid w:val="00282405"/>
    <w:rsid w:val="00285170"/>
    <w:rsid w:val="00285361"/>
    <w:rsid w:val="0029180E"/>
    <w:rsid w:val="00292D60"/>
    <w:rsid w:val="00293B30"/>
    <w:rsid w:val="00294D34"/>
    <w:rsid w:val="00294E3B"/>
    <w:rsid w:val="00296193"/>
    <w:rsid w:val="00296C66"/>
    <w:rsid w:val="00296EBE"/>
    <w:rsid w:val="002974E3"/>
    <w:rsid w:val="00297580"/>
    <w:rsid w:val="002A084B"/>
    <w:rsid w:val="002A0947"/>
    <w:rsid w:val="002A1260"/>
    <w:rsid w:val="002A1589"/>
    <w:rsid w:val="002A1608"/>
    <w:rsid w:val="002A25DC"/>
    <w:rsid w:val="002A3AAB"/>
    <w:rsid w:val="002A4CEA"/>
    <w:rsid w:val="002A4F88"/>
    <w:rsid w:val="002A5977"/>
    <w:rsid w:val="002A5A13"/>
    <w:rsid w:val="002A6B1A"/>
    <w:rsid w:val="002A6B59"/>
    <w:rsid w:val="002A6D91"/>
    <w:rsid w:val="002A757F"/>
    <w:rsid w:val="002A7F44"/>
    <w:rsid w:val="002B0C40"/>
    <w:rsid w:val="002B1966"/>
    <w:rsid w:val="002B4508"/>
    <w:rsid w:val="002B5779"/>
    <w:rsid w:val="002B7332"/>
    <w:rsid w:val="002B7F51"/>
    <w:rsid w:val="002C09E7"/>
    <w:rsid w:val="002C1E06"/>
    <w:rsid w:val="002C3F07"/>
    <w:rsid w:val="002C5278"/>
    <w:rsid w:val="002C7EBB"/>
    <w:rsid w:val="002D0537"/>
    <w:rsid w:val="002D06C1"/>
    <w:rsid w:val="002D31A1"/>
    <w:rsid w:val="002D42B5"/>
    <w:rsid w:val="002D4F1A"/>
    <w:rsid w:val="002D6EC6"/>
    <w:rsid w:val="002D79AC"/>
    <w:rsid w:val="002E039D"/>
    <w:rsid w:val="002E4D5A"/>
    <w:rsid w:val="002E6326"/>
    <w:rsid w:val="002F197E"/>
    <w:rsid w:val="002F30E0"/>
    <w:rsid w:val="002F35E4"/>
    <w:rsid w:val="002F36F2"/>
    <w:rsid w:val="002F3730"/>
    <w:rsid w:val="002F378D"/>
    <w:rsid w:val="002F38E1"/>
    <w:rsid w:val="002F7AF6"/>
    <w:rsid w:val="00300E63"/>
    <w:rsid w:val="00302F5F"/>
    <w:rsid w:val="0030441D"/>
    <w:rsid w:val="00306063"/>
    <w:rsid w:val="003108F2"/>
    <w:rsid w:val="00313B85"/>
    <w:rsid w:val="00317988"/>
    <w:rsid w:val="003221B4"/>
    <w:rsid w:val="0032258D"/>
    <w:rsid w:val="00322E62"/>
    <w:rsid w:val="0032466B"/>
    <w:rsid w:val="00324D13"/>
    <w:rsid w:val="00324EDD"/>
    <w:rsid w:val="003331E4"/>
    <w:rsid w:val="00335818"/>
    <w:rsid w:val="00336C64"/>
    <w:rsid w:val="00337162"/>
    <w:rsid w:val="00337ED8"/>
    <w:rsid w:val="0034194F"/>
    <w:rsid w:val="00344605"/>
    <w:rsid w:val="003474AA"/>
    <w:rsid w:val="00350D1D"/>
    <w:rsid w:val="00352C83"/>
    <w:rsid w:val="00352F1A"/>
    <w:rsid w:val="00355B32"/>
    <w:rsid w:val="0036107C"/>
    <w:rsid w:val="003615D2"/>
    <w:rsid w:val="003621E0"/>
    <w:rsid w:val="0036429C"/>
    <w:rsid w:val="00364A53"/>
    <w:rsid w:val="003654CB"/>
    <w:rsid w:val="00365AA9"/>
    <w:rsid w:val="00365F86"/>
    <w:rsid w:val="00365F87"/>
    <w:rsid w:val="00366E89"/>
    <w:rsid w:val="003705F4"/>
    <w:rsid w:val="00370D58"/>
    <w:rsid w:val="00371316"/>
    <w:rsid w:val="003716BC"/>
    <w:rsid w:val="00376713"/>
    <w:rsid w:val="0038139A"/>
    <w:rsid w:val="003814A6"/>
    <w:rsid w:val="00381815"/>
    <w:rsid w:val="003819AF"/>
    <w:rsid w:val="003820E9"/>
    <w:rsid w:val="00382DE7"/>
    <w:rsid w:val="0038485B"/>
    <w:rsid w:val="00384FFC"/>
    <w:rsid w:val="0038522C"/>
    <w:rsid w:val="003872FC"/>
    <w:rsid w:val="00387ADC"/>
    <w:rsid w:val="00390020"/>
    <w:rsid w:val="003903D6"/>
    <w:rsid w:val="00390EE6"/>
    <w:rsid w:val="0039118F"/>
    <w:rsid w:val="00392AD7"/>
    <w:rsid w:val="003938D9"/>
    <w:rsid w:val="00393BF2"/>
    <w:rsid w:val="00394376"/>
    <w:rsid w:val="003943FF"/>
    <w:rsid w:val="003974EB"/>
    <w:rsid w:val="0039792D"/>
    <w:rsid w:val="00397CC5"/>
    <w:rsid w:val="003A11D1"/>
    <w:rsid w:val="003A1582"/>
    <w:rsid w:val="003A3D9C"/>
    <w:rsid w:val="003A4077"/>
    <w:rsid w:val="003A4AA7"/>
    <w:rsid w:val="003A6493"/>
    <w:rsid w:val="003A689B"/>
    <w:rsid w:val="003A792E"/>
    <w:rsid w:val="003B09AD"/>
    <w:rsid w:val="003B1F18"/>
    <w:rsid w:val="003B5BF0"/>
    <w:rsid w:val="003B60BF"/>
    <w:rsid w:val="003B6BE3"/>
    <w:rsid w:val="003C010C"/>
    <w:rsid w:val="003C0A6C"/>
    <w:rsid w:val="003C14F8"/>
    <w:rsid w:val="003C5A43"/>
    <w:rsid w:val="003C7F33"/>
    <w:rsid w:val="003D0519"/>
    <w:rsid w:val="003D0FF6"/>
    <w:rsid w:val="003D1D21"/>
    <w:rsid w:val="003D262C"/>
    <w:rsid w:val="003D454D"/>
    <w:rsid w:val="003D4D73"/>
    <w:rsid w:val="003D6D61"/>
    <w:rsid w:val="003D767A"/>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3C4"/>
    <w:rsid w:val="00412D9E"/>
    <w:rsid w:val="0041477A"/>
    <w:rsid w:val="004167A3"/>
    <w:rsid w:val="00420251"/>
    <w:rsid w:val="00432DAA"/>
    <w:rsid w:val="00434305"/>
    <w:rsid w:val="00435DF7"/>
    <w:rsid w:val="0044083F"/>
    <w:rsid w:val="00441AE7"/>
    <w:rsid w:val="00445574"/>
    <w:rsid w:val="004467FB"/>
    <w:rsid w:val="00452D6B"/>
    <w:rsid w:val="00454484"/>
    <w:rsid w:val="0045517B"/>
    <w:rsid w:val="004553E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078"/>
    <w:rsid w:val="00492F02"/>
    <w:rsid w:val="004939AE"/>
    <w:rsid w:val="004941F6"/>
    <w:rsid w:val="004A12DF"/>
    <w:rsid w:val="004A1BA8"/>
    <w:rsid w:val="004A3611"/>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A13"/>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59"/>
    <w:rsid w:val="00514174"/>
    <w:rsid w:val="00516088"/>
    <w:rsid w:val="00516B0B"/>
    <w:rsid w:val="00521E4D"/>
    <w:rsid w:val="005220EC"/>
    <w:rsid w:val="00523F95"/>
    <w:rsid w:val="00524D65"/>
    <w:rsid w:val="00525B16"/>
    <w:rsid w:val="00533D04"/>
    <w:rsid w:val="00534804"/>
    <w:rsid w:val="00534BDF"/>
    <w:rsid w:val="005354EA"/>
    <w:rsid w:val="0053585F"/>
    <w:rsid w:val="00535EC4"/>
    <w:rsid w:val="00535ED9"/>
    <w:rsid w:val="005361B5"/>
    <w:rsid w:val="0053692B"/>
    <w:rsid w:val="00537EAE"/>
    <w:rsid w:val="005416EC"/>
    <w:rsid w:val="00541853"/>
    <w:rsid w:val="00543BDA"/>
    <w:rsid w:val="005441CC"/>
    <w:rsid w:val="005479DA"/>
    <w:rsid w:val="00547BCC"/>
    <w:rsid w:val="0055013B"/>
    <w:rsid w:val="00551F6F"/>
    <w:rsid w:val="00555044"/>
    <w:rsid w:val="0055735D"/>
    <w:rsid w:val="00561475"/>
    <w:rsid w:val="00562308"/>
    <w:rsid w:val="0056487B"/>
    <w:rsid w:val="00564FB9"/>
    <w:rsid w:val="005714C6"/>
    <w:rsid w:val="00573D9E"/>
    <w:rsid w:val="00574221"/>
    <w:rsid w:val="00577EEB"/>
    <w:rsid w:val="005801E3"/>
    <w:rsid w:val="00581802"/>
    <w:rsid w:val="005836A8"/>
    <w:rsid w:val="0058409C"/>
    <w:rsid w:val="00584262"/>
    <w:rsid w:val="005864FE"/>
    <w:rsid w:val="00586630"/>
    <w:rsid w:val="005878C7"/>
    <w:rsid w:val="00587ADD"/>
    <w:rsid w:val="00593A49"/>
    <w:rsid w:val="00596160"/>
    <w:rsid w:val="005966E2"/>
    <w:rsid w:val="00597007"/>
    <w:rsid w:val="005A0966"/>
    <w:rsid w:val="005A11B7"/>
    <w:rsid w:val="005A260B"/>
    <w:rsid w:val="005A2D64"/>
    <w:rsid w:val="005A4A1B"/>
    <w:rsid w:val="005A7830"/>
    <w:rsid w:val="005A7FCE"/>
    <w:rsid w:val="005B0F3F"/>
    <w:rsid w:val="005B191C"/>
    <w:rsid w:val="005B4903"/>
    <w:rsid w:val="005B51CE"/>
    <w:rsid w:val="005B5885"/>
    <w:rsid w:val="005B5CD7"/>
    <w:rsid w:val="005B6CF6"/>
    <w:rsid w:val="005B72DE"/>
    <w:rsid w:val="005B7422"/>
    <w:rsid w:val="005C18F8"/>
    <w:rsid w:val="005C28D5"/>
    <w:rsid w:val="005C29B8"/>
    <w:rsid w:val="005C2D20"/>
    <w:rsid w:val="005C3172"/>
    <w:rsid w:val="005C39F5"/>
    <w:rsid w:val="005C5F21"/>
    <w:rsid w:val="005C7156"/>
    <w:rsid w:val="005D0C75"/>
    <w:rsid w:val="005D2BBA"/>
    <w:rsid w:val="005D2CBD"/>
    <w:rsid w:val="005D4171"/>
    <w:rsid w:val="005D6A95"/>
    <w:rsid w:val="005D6B2C"/>
    <w:rsid w:val="005D6D9C"/>
    <w:rsid w:val="005E0EE0"/>
    <w:rsid w:val="005E2335"/>
    <w:rsid w:val="005E34CA"/>
    <w:rsid w:val="005E3C18"/>
    <w:rsid w:val="005E4250"/>
    <w:rsid w:val="005E6812"/>
    <w:rsid w:val="005E697B"/>
    <w:rsid w:val="005E7179"/>
    <w:rsid w:val="005E7881"/>
    <w:rsid w:val="005E78E0"/>
    <w:rsid w:val="005F08C7"/>
    <w:rsid w:val="005F0D9C"/>
    <w:rsid w:val="005F284E"/>
    <w:rsid w:val="006015CE"/>
    <w:rsid w:val="00604784"/>
    <w:rsid w:val="00606419"/>
    <w:rsid w:val="00607D29"/>
    <w:rsid w:val="00612952"/>
    <w:rsid w:val="00614CC1"/>
    <w:rsid w:val="00615A9D"/>
    <w:rsid w:val="006171F4"/>
    <w:rsid w:val="00617387"/>
    <w:rsid w:val="00617AA3"/>
    <w:rsid w:val="006205D6"/>
    <w:rsid w:val="006252D8"/>
    <w:rsid w:val="006259BC"/>
    <w:rsid w:val="0062636B"/>
    <w:rsid w:val="00632182"/>
    <w:rsid w:val="00632AE0"/>
    <w:rsid w:val="00633C17"/>
    <w:rsid w:val="00634D9E"/>
    <w:rsid w:val="00636108"/>
    <w:rsid w:val="00636E3E"/>
    <w:rsid w:val="006379F7"/>
    <w:rsid w:val="00637E4D"/>
    <w:rsid w:val="00640620"/>
    <w:rsid w:val="00641A1F"/>
    <w:rsid w:val="00645904"/>
    <w:rsid w:val="00646BF4"/>
    <w:rsid w:val="00651ACB"/>
    <w:rsid w:val="00651C47"/>
    <w:rsid w:val="00652AB2"/>
    <w:rsid w:val="00653BA7"/>
    <w:rsid w:val="00653FED"/>
    <w:rsid w:val="00654EC0"/>
    <w:rsid w:val="0065525B"/>
    <w:rsid w:val="00655D2C"/>
    <w:rsid w:val="00655D4F"/>
    <w:rsid w:val="00655F7C"/>
    <w:rsid w:val="00656D29"/>
    <w:rsid w:val="006619A7"/>
    <w:rsid w:val="00663CB5"/>
    <w:rsid w:val="006640E5"/>
    <w:rsid w:val="006646F1"/>
    <w:rsid w:val="00664929"/>
    <w:rsid w:val="00664F62"/>
    <w:rsid w:val="006655E1"/>
    <w:rsid w:val="00672060"/>
    <w:rsid w:val="00672BFD"/>
    <w:rsid w:val="006763DF"/>
    <w:rsid w:val="006770F4"/>
    <w:rsid w:val="00677A84"/>
    <w:rsid w:val="0068026D"/>
    <w:rsid w:val="00680A27"/>
    <w:rsid w:val="006816A4"/>
    <w:rsid w:val="006819B8"/>
    <w:rsid w:val="006840A6"/>
    <w:rsid w:val="006850CD"/>
    <w:rsid w:val="00685AAB"/>
    <w:rsid w:val="00687A09"/>
    <w:rsid w:val="00690A32"/>
    <w:rsid w:val="00692930"/>
    <w:rsid w:val="00695B84"/>
    <w:rsid w:val="00696A3E"/>
    <w:rsid w:val="006A07AA"/>
    <w:rsid w:val="006A1B9C"/>
    <w:rsid w:val="006A25E5"/>
    <w:rsid w:val="006A2B46"/>
    <w:rsid w:val="006A336D"/>
    <w:rsid w:val="006A37B9"/>
    <w:rsid w:val="006B0664"/>
    <w:rsid w:val="006B2672"/>
    <w:rsid w:val="006B54BF"/>
    <w:rsid w:val="006B5F36"/>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50B"/>
    <w:rsid w:val="006E17C0"/>
    <w:rsid w:val="006E1D8D"/>
    <w:rsid w:val="006F03A8"/>
    <w:rsid w:val="006F2ACA"/>
    <w:rsid w:val="006F2ADC"/>
    <w:rsid w:val="006F2BFE"/>
    <w:rsid w:val="006F31E9"/>
    <w:rsid w:val="006F6284"/>
    <w:rsid w:val="006F6464"/>
    <w:rsid w:val="007002C5"/>
    <w:rsid w:val="00704387"/>
    <w:rsid w:val="00707669"/>
    <w:rsid w:val="00707C1A"/>
    <w:rsid w:val="007110C6"/>
    <w:rsid w:val="00711CBA"/>
    <w:rsid w:val="00711FB5"/>
    <w:rsid w:val="00712A01"/>
    <w:rsid w:val="00714285"/>
    <w:rsid w:val="00714F23"/>
    <w:rsid w:val="00714F58"/>
    <w:rsid w:val="007202E4"/>
    <w:rsid w:val="00720F3C"/>
    <w:rsid w:val="00722FBF"/>
    <w:rsid w:val="00722FC2"/>
    <w:rsid w:val="00724E1B"/>
    <w:rsid w:val="00725949"/>
    <w:rsid w:val="00727FA2"/>
    <w:rsid w:val="007322D9"/>
    <w:rsid w:val="00732BC0"/>
    <w:rsid w:val="00735FDA"/>
    <w:rsid w:val="0073720F"/>
    <w:rsid w:val="00737796"/>
    <w:rsid w:val="0074165C"/>
    <w:rsid w:val="00742C35"/>
    <w:rsid w:val="007432CA"/>
    <w:rsid w:val="007439EB"/>
    <w:rsid w:val="00743CB4"/>
    <w:rsid w:val="00743F0A"/>
    <w:rsid w:val="007444E8"/>
    <w:rsid w:val="0074548E"/>
    <w:rsid w:val="00745773"/>
    <w:rsid w:val="00745DE4"/>
    <w:rsid w:val="00746800"/>
    <w:rsid w:val="00746F59"/>
    <w:rsid w:val="007501A8"/>
    <w:rsid w:val="00750D61"/>
    <w:rsid w:val="00750EE1"/>
    <w:rsid w:val="00752B4D"/>
    <w:rsid w:val="007538C7"/>
    <w:rsid w:val="00755402"/>
    <w:rsid w:val="00756B26"/>
    <w:rsid w:val="00756EDF"/>
    <w:rsid w:val="007600E3"/>
    <w:rsid w:val="0076116E"/>
    <w:rsid w:val="00765C43"/>
    <w:rsid w:val="00765EFB"/>
    <w:rsid w:val="007671CA"/>
    <w:rsid w:val="0076741C"/>
    <w:rsid w:val="00767C61"/>
    <w:rsid w:val="0077008A"/>
    <w:rsid w:val="00770D27"/>
    <w:rsid w:val="007720A1"/>
    <w:rsid w:val="00773C1F"/>
    <w:rsid w:val="00774DA4"/>
    <w:rsid w:val="00776599"/>
    <w:rsid w:val="0078114B"/>
    <w:rsid w:val="0078136C"/>
    <w:rsid w:val="00781DD2"/>
    <w:rsid w:val="00783ECF"/>
    <w:rsid w:val="0078413A"/>
    <w:rsid w:val="00784310"/>
    <w:rsid w:val="00785D25"/>
    <w:rsid w:val="007959E8"/>
    <w:rsid w:val="00795E9C"/>
    <w:rsid w:val="007A0521"/>
    <w:rsid w:val="007A0541"/>
    <w:rsid w:val="007A2E12"/>
    <w:rsid w:val="007A3475"/>
    <w:rsid w:val="007A41C8"/>
    <w:rsid w:val="007A54CE"/>
    <w:rsid w:val="007A5D3A"/>
    <w:rsid w:val="007A6D9F"/>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372"/>
    <w:rsid w:val="007D606C"/>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C43"/>
    <w:rsid w:val="00815419"/>
    <w:rsid w:val="008163C8"/>
    <w:rsid w:val="008164A1"/>
    <w:rsid w:val="00816678"/>
    <w:rsid w:val="00817325"/>
    <w:rsid w:val="008209E6"/>
    <w:rsid w:val="00821D19"/>
    <w:rsid w:val="00823303"/>
    <w:rsid w:val="008233B2"/>
    <w:rsid w:val="00823A9F"/>
    <w:rsid w:val="00823C85"/>
    <w:rsid w:val="00825138"/>
    <w:rsid w:val="008269DD"/>
    <w:rsid w:val="00830621"/>
    <w:rsid w:val="00831BF5"/>
    <w:rsid w:val="0083348C"/>
    <w:rsid w:val="0083393D"/>
    <w:rsid w:val="008357F0"/>
    <w:rsid w:val="008373D3"/>
    <w:rsid w:val="00840617"/>
    <w:rsid w:val="00840F84"/>
    <w:rsid w:val="00842A47"/>
    <w:rsid w:val="00843C13"/>
    <w:rsid w:val="00843DEF"/>
    <w:rsid w:val="008454F8"/>
    <w:rsid w:val="0085173A"/>
    <w:rsid w:val="008603CE"/>
    <w:rsid w:val="008620FC"/>
    <w:rsid w:val="008627A5"/>
    <w:rsid w:val="0086357C"/>
    <w:rsid w:val="00863E05"/>
    <w:rsid w:val="00865ACA"/>
    <w:rsid w:val="00865D28"/>
    <w:rsid w:val="00865F85"/>
    <w:rsid w:val="00867C10"/>
    <w:rsid w:val="00870439"/>
    <w:rsid w:val="00870DA1"/>
    <w:rsid w:val="00875C3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2B2"/>
    <w:rsid w:val="008A173B"/>
    <w:rsid w:val="008A1893"/>
    <w:rsid w:val="008A1DD9"/>
    <w:rsid w:val="008A483B"/>
    <w:rsid w:val="008A57E6"/>
    <w:rsid w:val="008A63DD"/>
    <w:rsid w:val="008A6F81"/>
    <w:rsid w:val="008A769A"/>
    <w:rsid w:val="008B0C9C"/>
    <w:rsid w:val="008B166D"/>
    <w:rsid w:val="008B17F4"/>
    <w:rsid w:val="008B3615"/>
    <w:rsid w:val="008B4AC4"/>
    <w:rsid w:val="008B50C8"/>
    <w:rsid w:val="008B524E"/>
    <w:rsid w:val="008B5281"/>
    <w:rsid w:val="008B5B59"/>
    <w:rsid w:val="008B60D6"/>
    <w:rsid w:val="008B7E05"/>
    <w:rsid w:val="008B7ECB"/>
    <w:rsid w:val="008C0736"/>
    <w:rsid w:val="008C1797"/>
    <w:rsid w:val="008C2044"/>
    <w:rsid w:val="008C219C"/>
    <w:rsid w:val="008C475E"/>
    <w:rsid w:val="008C5888"/>
    <w:rsid w:val="008C619A"/>
    <w:rsid w:val="008C6CB3"/>
    <w:rsid w:val="008D0CE8"/>
    <w:rsid w:val="008D2D1D"/>
    <w:rsid w:val="008D453D"/>
    <w:rsid w:val="008D509D"/>
    <w:rsid w:val="008D53AD"/>
    <w:rsid w:val="008D562B"/>
    <w:rsid w:val="008D5733"/>
    <w:rsid w:val="008D622B"/>
    <w:rsid w:val="008D666C"/>
    <w:rsid w:val="008D7B54"/>
    <w:rsid w:val="008E0C9D"/>
    <w:rsid w:val="008E1648"/>
    <w:rsid w:val="008E1780"/>
    <w:rsid w:val="008E1B3E"/>
    <w:rsid w:val="008E2319"/>
    <w:rsid w:val="008E2DA4"/>
    <w:rsid w:val="008E3015"/>
    <w:rsid w:val="008E4BB6"/>
    <w:rsid w:val="008E5518"/>
    <w:rsid w:val="008E6A84"/>
    <w:rsid w:val="008F04A8"/>
    <w:rsid w:val="008F0CDC"/>
    <w:rsid w:val="008F17A3"/>
    <w:rsid w:val="008F1ED3"/>
    <w:rsid w:val="008F38A5"/>
    <w:rsid w:val="008F4C29"/>
    <w:rsid w:val="008F70BD"/>
    <w:rsid w:val="008F788F"/>
    <w:rsid w:val="008F7EA2"/>
    <w:rsid w:val="00901FAD"/>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0FD"/>
    <w:rsid w:val="009305B5"/>
    <w:rsid w:val="009329D3"/>
    <w:rsid w:val="009378DD"/>
    <w:rsid w:val="009429D5"/>
    <w:rsid w:val="00942BF1"/>
    <w:rsid w:val="00943B26"/>
    <w:rsid w:val="00945180"/>
    <w:rsid w:val="00945428"/>
    <w:rsid w:val="0094607B"/>
    <w:rsid w:val="00953604"/>
    <w:rsid w:val="0095496B"/>
    <w:rsid w:val="00960C0C"/>
    <w:rsid w:val="00960F1E"/>
    <w:rsid w:val="009610DC"/>
    <w:rsid w:val="00961490"/>
    <w:rsid w:val="0096381A"/>
    <w:rsid w:val="00965B33"/>
    <w:rsid w:val="00965E04"/>
    <w:rsid w:val="009674AD"/>
    <w:rsid w:val="00970CDC"/>
    <w:rsid w:val="00975727"/>
    <w:rsid w:val="00977010"/>
    <w:rsid w:val="00977D02"/>
    <w:rsid w:val="00977FF9"/>
    <w:rsid w:val="009809BB"/>
    <w:rsid w:val="00982823"/>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F61"/>
    <w:rsid w:val="009C3152"/>
    <w:rsid w:val="009C3257"/>
    <w:rsid w:val="009C4CFA"/>
    <w:rsid w:val="009C5070"/>
    <w:rsid w:val="009D112C"/>
    <w:rsid w:val="009D1385"/>
    <w:rsid w:val="009D47FA"/>
    <w:rsid w:val="009D4C5B"/>
    <w:rsid w:val="009D50D2"/>
    <w:rsid w:val="009D6BCA"/>
    <w:rsid w:val="009E02F1"/>
    <w:rsid w:val="009E0F62"/>
    <w:rsid w:val="009E16DF"/>
    <w:rsid w:val="009E4A58"/>
    <w:rsid w:val="009E53BA"/>
    <w:rsid w:val="009E5A2D"/>
    <w:rsid w:val="009E5AB2"/>
    <w:rsid w:val="009E6219"/>
    <w:rsid w:val="009F03B3"/>
    <w:rsid w:val="00A000DC"/>
    <w:rsid w:val="00A0096C"/>
    <w:rsid w:val="00A01757"/>
    <w:rsid w:val="00A028C0"/>
    <w:rsid w:val="00A02BAE"/>
    <w:rsid w:val="00A06A6B"/>
    <w:rsid w:val="00A07E47"/>
    <w:rsid w:val="00A101D8"/>
    <w:rsid w:val="00A111F0"/>
    <w:rsid w:val="00A129D0"/>
    <w:rsid w:val="00A12C33"/>
    <w:rsid w:val="00A138BA"/>
    <w:rsid w:val="00A14C8E"/>
    <w:rsid w:val="00A153D9"/>
    <w:rsid w:val="00A15F09"/>
    <w:rsid w:val="00A169B6"/>
    <w:rsid w:val="00A2271D"/>
    <w:rsid w:val="00A237D5"/>
    <w:rsid w:val="00A26051"/>
    <w:rsid w:val="00A27CFE"/>
    <w:rsid w:val="00A30EFC"/>
    <w:rsid w:val="00A31929"/>
    <w:rsid w:val="00A31984"/>
    <w:rsid w:val="00A32D73"/>
    <w:rsid w:val="00A3367B"/>
    <w:rsid w:val="00A33C67"/>
    <w:rsid w:val="00A349EF"/>
    <w:rsid w:val="00A3551D"/>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E77"/>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92E"/>
    <w:rsid w:val="00A96AD8"/>
    <w:rsid w:val="00AA052C"/>
    <w:rsid w:val="00AA0870"/>
    <w:rsid w:val="00AA1E45"/>
    <w:rsid w:val="00AA4286"/>
    <w:rsid w:val="00AA456B"/>
    <w:rsid w:val="00AA4685"/>
    <w:rsid w:val="00AA57F5"/>
    <w:rsid w:val="00AA672E"/>
    <w:rsid w:val="00AA6EC9"/>
    <w:rsid w:val="00AB3AE4"/>
    <w:rsid w:val="00AB6309"/>
    <w:rsid w:val="00AB6C5F"/>
    <w:rsid w:val="00AB7129"/>
    <w:rsid w:val="00AC04B5"/>
    <w:rsid w:val="00AC27A6"/>
    <w:rsid w:val="00AC30F7"/>
    <w:rsid w:val="00AC3A5A"/>
    <w:rsid w:val="00AC46B8"/>
    <w:rsid w:val="00AC4D95"/>
    <w:rsid w:val="00AC5DF4"/>
    <w:rsid w:val="00AD0AEF"/>
    <w:rsid w:val="00AD11B7"/>
    <w:rsid w:val="00AD1A94"/>
    <w:rsid w:val="00AD1C05"/>
    <w:rsid w:val="00AD2B1C"/>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0AB"/>
    <w:rsid w:val="00B147DD"/>
    <w:rsid w:val="00B156FD"/>
    <w:rsid w:val="00B21EA8"/>
    <w:rsid w:val="00B21F61"/>
    <w:rsid w:val="00B261F1"/>
    <w:rsid w:val="00B265BC"/>
    <w:rsid w:val="00B27A59"/>
    <w:rsid w:val="00B31FB1"/>
    <w:rsid w:val="00B33952"/>
    <w:rsid w:val="00B33C5E"/>
    <w:rsid w:val="00B342F4"/>
    <w:rsid w:val="00B34369"/>
    <w:rsid w:val="00B34DC2"/>
    <w:rsid w:val="00B378E5"/>
    <w:rsid w:val="00B4346D"/>
    <w:rsid w:val="00B440F4"/>
    <w:rsid w:val="00B447A5"/>
    <w:rsid w:val="00B44E41"/>
    <w:rsid w:val="00B4517D"/>
    <w:rsid w:val="00B4654C"/>
    <w:rsid w:val="00B47293"/>
    <w:rsid w:val="00B47E11"/>
    <w:rsid w:val="00B50E50"/>
    <w:rsid w:val="00B52120"/>
    <w:rsid w:val="00B54ABC"/>
    <w:rsid w:val="00B55837"/>
    <w:rsid w:val="00B56FBE"/>
    <w:rsid w:val="00B60ACF"/>
    <w:rsid w:val="00B62B58"/>
    <w:rsid w:val="00B65149"/>
    <w:rsid w:val="00B66567"/>
    <w:rsid w:val="00B66F52"/>
    <w:rsid w:val="00B66FE5"/>
    <w:rsid w:val="00B6715A"/>
    <w:rsid w:val="00B71492"/>
    <w:rsid w:val="00B72880"/>
    <w:rsid w:val="00B758BF"/>
    <w:rsid w:val="00B77EC8"/>
    <w:rsid w:val="00B8182C"/>
    <w:rsid w:val="00B827A6"/>
    <w:rsid w:val="00B831CE"/>
    <w:rsid w:val="00B86677"/>
    <w:rsid w:val="00B87131"/>
    <w:rsid w:val="00B871DB"/>
    <w:rsid w:val="00B939B1"/>
    <w:rsid w:val="00B93BF1"/>
    <w:rsid w:val="00B96CA5"/>
    <w:rsid w:val="00B96D40"/>
    <w:rsid w:val="00B970F7"/>
    <w:rsid w:val="00B97386"/>
    <w:rsid w:val="00BA263B"/>
    <w:rsid w:val="00BA33AE"/>
    <w:rsid w:val="00BA42B2"/>
    <w:rsid w:val="00BA58D4"/>
    <w:rsid w:val="00BA5B24"/>
    <w:rsid w:val="00BA5B9E"/>
    <w:rsid w:val="00BA7C9A"/>
    <w:rsid w:val="00BB5F8F"/>
    <w:rsid w:val="00BB657A"/>
    <w:rsid w:val="00BC1A4E"/>
    <w:rsid w:val="00BC5DC7"/>
    <w:rsid w:val="00BC6B8B"/>
    <w:rsid w:val="00BC73D8"/>
    <w:rsid w:val="00BD52D7"/>
    <w:rsid w:val="00BD5AD2"/>
    <w:rsid w:val="00BE051C"/>
    <w:rsid w:val="00BE22F3"/>
    <w:rsid w:val="00BE3226"/>
    <w:rsid w:val="00BE5B52"/>
    <w:rsid w:val="00BE7B8D"/>
    <w:rsid w:val="00BF0993"/>
    <w:rsid w:val="00BF10A9"/>
    <w:rsid w:val="00BF1703"/>
    <w:rsid w:val="00BF231C"/>
    <w:rsid w:val="00BF51E5"/>
    <w:rsid w:val="00BF74A6"/>
    <w:rsid w:val="00C013AD"/>
    <w:rsid w:val="00C04904"/>
    <w:rsid w:val="00C056B3"/>
    <w:rsid w:val="00C07AC9"/>
    <w:rsid w:val="00C103E5"/>
    <w:rsid w:val="00C13319"/>
    <w:rsid w:val="00C13EE9"/>
    <w:rsid w:val="00C16F32"/>
    <w:rsid w:val="00C21540"/>
    <w:rsid w:val="00C21906"/>
    <w:rsid w:val="00C21BFA"/>
    <w:rsid w:val="00C2444E"/>
    <w:rsid w:val="00C24C8D"/>
    <w:rsid w:val="00C25FE2"/>
    <w:rsid w:val="00C26B53"/>
    <w:rsid w:val="00C279B2"/>
    <w:rsid w:val="00C31EFB"/>
    <w:rsid w:val="00C33E50"/>
    <w:rsid w:val="00C34C20"/>
    <w:rsid w:val="00C34D44"/>
    <w:rsid w:val="00C35A3E"/>
    <w:rsid w:val="00C42130"/>
    <w:rsid w:val="00C423A4"/>
    <w:rsid w:val="00C423E3"/>
    <w:rsid w:val="00C44BF5"/>
    <w:rsid w:val="00C469EA"/>
    <w:rsid w:val="00C521D6"/>
    <w:rsid w:val="00C55232"/>
    <w:rsid w:val="00C553A4"/>
    <w:rsid w:val="00C55A06"/>
    <w:rsid w:val="00C55D03"/>
    <w:rsid w:val="00C601BC"/>
    <w:rsid w:val="00C6329F"/>
    <w:rsid w:val="00C63340"/>
    <w:rsid w:val="00C643F9"/>
    <w:rsid w:val="00C64E95"/>
    <w:rsid w:val="00C71178"/>
    <w:rsid w:val="00C71372"/>
    <w:rsid w:val="00C72410"/>
    <w:rsid w:val="00C7287F"/>
    <w:rsid w:val="00C73FE8"/>
    <w:rsid w:val="00C76AC3"/>
    <w:rsid w:val="00C80CB8"/>
    <w:rsid w:val="00C819F8"/>
    <w:rsid w:val="00C8248C"/>
    <w:rsid w:val="00C84E33"/>
    <w:rsid w:val="00C85708"/>
    <w:rsid w:val="00C86D6F"/>
    <w:rsid w:val="00C905FC"/>
    <w:rsid w:val="00C92D03"/>
    <w:rsid w:val="00C9319C"/>
    <w:rsid w:val="00C9435D"/>
    <w:rsid w:val="00C94DF2"/>
    <w:rsid w:val="00C96741"/>
    <w:rsid w:val="00CA17B2"/>
    <w:rsid w:val="00CA2D1B"/>
    <w:rsid w:val="00CA375D"/>
    <w:rsid w:val="00CA662A"/>
    <w:rsid w:val="00CA7AFD"/>
    <w:rsid w:val="00CA7C3C"/>
    <w:rsid w:val="00CB0189"/>
    <w:rsid w:val="00CB0ABC"/>
    <w:rsid w:val="00CB0BA2"/>
    <w:rsid w:val="00CB1A42"/>
    <w:rsid w:val="00CB1B0C"/>
    <w:rsid w:val="00CB2C0B"/>
    <w:rsid w:val="00CB517D"/>
    <w:rsid w:val="00CC038D"/>
    <w:rsid w:val="00CC08DB"/>
    <w:rsid w:val="00CC39FF"/>
    <w:rsid w:val="00CC3C2F"/>
    <w:rsid w:val="00CC4AC8"/>
    <w:rsid w:val="00CC5233"/>
    <w:rsid w:val="00CC5DE6"/>
    <w:rsid w:val="00CC634B"/>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F20"/>
    <w:rsid w:val="00D0321C"/>
    <w:rsid w:val="00D035EC"/>
    <w:rsid w:val="00D06AB1"/>
    <w:rsid w:val="00D06FC1"/>
    <w:rsid w:val="00D072ED"/>
    <w:rsid w:val="00D07A16"/>
    <w:rsid w:val="00D1067E"/>
    <w:rsid w:val="00D10F50"/>
    <w:rsid w:val="00D11272"/>
    <w:rsid w:val="00D126F5"/>
    <w:rsid w:val="00D13D72"/>
    <w:rsid w:val="00D1489E"/>
    <w:rsid w:val="00D20737"/>
    <w:rsid w:val="00D21E81"/>
    <w:rsid w:val="00D223DE"/>
    <w:rsid w:val="00D25E37"/>
    <w:rsid w:val="00D2661A"/>
    <w:rsid w:val="00D27582"/>
    <w:rsid w:val="00D27EC4"/>
    <w:rsid w:val="00D32719"/>
    <w:rsid w:val="00D33333"/>
    <w:rsid w:val="00D352A2"/>
    <w:rsid w:val="00D4162B"/>
    <w:rsid w:val="00D4397C"/>
    <w:rsid w:val="00D4514F"/>
    <w:rsid w:val="00D451E2"/>
    <w:rsid w:val="00D45E89"/>
    <w:rsid w:val="00D45E8D"/>
    <w:rsid w:val="00D466AE"/>
    <w:rsid w:val="00D4734F"/>
    <w:rsid w:val="00D51BF3"/>
    <w:rsid w:val="00D636C4"/>
    <w:rsid w:val="00D66846"/>
    <w:rsid w:val="00D675FB"/>
    <w:rsid w:val="00D71B05"/>
    <w:rsid w:val="00D71F25"/>
    <w:rsid w:val="00D72A9C"/>
    <w:rsid w:val="00D77031"/>
    <w:rsid w:val="00D84941"/>
    <w:rsid w:val="00D84FA1"/>
    <w:rsid w:val="00D851F0"/>
    <w:rsid w:val="00D86DB7"/>
    <w:rsid w:val="00D87BF5"/>
    <w:rsid w:val="00D90721"/>
    <w:rsid w:val="00D926D0"/>
    <w:rsid w:val="00D93030"/>
    <w:rsid w:val="00D943B1"/>
    <w:rsid w:val="00D950E1"/>
    <w:rsid w:val="00D952A6"/>
    <w:rsid w:val="00D97F88"/>
    <w:rsid w:val="00D97F99"/>
    <w:rsid w:val="00DA1E08"/>
    <w:rsid w:val="00DA24F8"/>
    <w:rsid w:val="00DA28E8"/>
    <w:rsid w:val="00DA38D3"/>
    <w:rsid w:val="00DA3932"/>
    <w:rsid w:val="00DA3AFC"/>
    <w:rsid w:val="00DA64F8"/>
    <w:rsid w:val="00DA6C15"/>
    <w:rsid w:val="00DB0258"/>
    <w:rsid w:val="00DB2843"/>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BDC"/>
    <w:rsid w:val="00DD4D4A"/>
    <w:rsid w:val="00DD4FE5"/>
    <w:rsid w:val="00DD54B0"/>
    <w:rsid w:val="00DD57EE"/>
    <w:rsid w:val="00DD6BCC"/>
    <w:rsid w:val="00DE0A4B"/>
    <w:rsid w:val="00DE0B85"/>
    <w:rsid w:val="00DE1F4C"/>
    <w:rsid w:val="00DE2410"/>
    <w:rsid w:val="00DE2939"/>
    <w:rsid w:val="00DE6E81"/>
    <w:rsid w:val="00DE703F"/>
    <w:rsid w:val="00DE7595"/>
    <w:rsid w:val="00DE7BBD"/>
    <w:rsid w:val="00DF1961"/>
    <w:rsid w:val="00DF1ADB"/>
    <w:rsid w:val="00DF2D07"/>
    <w:rsid w:val="00DF44DE"/>
    <w:rsid w:val="00E01138"/>
    <w:rsid w:val="00E01919"/>
    <w:rsid w:val="00E02B69"/>
    <w:rsid w:val="00E02DFB"/>
    <w:rsid w:val="00E030F9"/>
    <w:rsid w:val="00E0311A"/>
    <w:rsid w:val="00E03138"/>
    <w:rsid w:val="00E03E4F"/>
    <w:rsid w:val="00E05AE3"/>
    <w:rsid w:val="00E06404"/>
    <w:rsid w:val="00E114B1"/>
    <w:rsid w:val="00E11A85"/>
    <w:rsid w:val="00E12495"/>
    <w:rsid w:val="00E12AE7"/>
    <w:rsid w:val="00E15CCD"/>
    <w:rsid w:val="00E202EF"/>
    <w:rsid w:val="00E20D91"/>
    <w:rsid w:val="00E210B5"/>
    <w:rsid w:val="00E2552F"/>
    <w:rsid w:val="00E26CC7"/>
    <w:rsid w:val="00E279E7"/>
    <w:rsid w:val="00E3137A"/>
    <w:rsid w:val="00E32ABC"/>
    <w:rsid w:val="00E32CCF"/>
    <w:rsid w:val="00E34A98"/>
    <w:rsid w:val="00E3523A"/>
    <w:rsid w:val="00E35D1E"/>
    <w:rsid w:val="00E364F9"/>
    <w:rsid w:val="00E365FA"/>
    <w:rsid w:val="00E36789"/>
    <w:rsid w:val="00E37027"/>
    <w:rsid w:val="00E44A83"/>
    <w:rsid w:val="00E502C1"/>
    <w:rsid w:val="00E502DD"/>
    <w:rsid w:val="00E50932"/>
    <w:rsid w:val="00E50D3A"/>
    <w:rsid w:val="00E51387"/>
    <w:rsid w:val="00E51E68"/>
    <w:rsid w:val="00E52EFD"/>
    <w:rsid w:val="00E5408A"/>
    <w:rsid w:val="00E56800"/>
    <w:rsid w:val="00E60A9C"/>
    <w:rsid w:val="00E60C63"/>
    <w:rsid w:val="00E62FF9"/>
    <w:rsid w:val="00E635D6"/>
    <w:rsid w:val="00E639BC"/>
    <w:rsid w:val="00E664CC"/>
    <w:rsid w:val="00E70388"/>
    <w:rsid w:val="00E70F92"/>
    <w:rsid w:val="00E72872"/>
    <w:rsid w:val="00E73EA2"/>
    <w:rsid w:val="00E74313"/>
    <w:rsid w:val="00E74C54"/>
    <w:rsid w:val="00E77A03"/>
    <w:rsid w:val="00E822E8"/>
    <w:rsid w:val="00E82554"/>
    <w:rsid w:val="00E82606"/>
    <w:rsid w:val="00E831C1"/>
    <w:rsid w:val="00E846C8"/>
    <w:rsid w:val="00E84957"/>
    <w:rsid w:val="00E84A55"/>
    <w:rsid w:val="00E85BFF"/>
    <w:rsid w:val="00E86B87"/>
    <w:rsid w:val="00E90391"/>
    <w:rsid w:val="00E906C2"/>
    <w:rsid w:val="00E9311F"/>
    <w:rsid w:val="00E934D1"/>
    <w:rsid w:val="00E94AF0"/>
    <w:rsid w:val="00E95D13"/>
    <w:rsid w:val="00E95DD3"/>
    <w:rsid w:val="00E969D5"/>
    <w:rsid w:val="00EA58D1"/>
    <w:rsid w:val="00EA61BC"/>
    <w:rsid w:val="00EA681A"/>
    <w:rsid w:val="00EA735B"/>
    <w:rsid w:val="00EB0A13"/>
    <w:rsid w:val="00EB1E69"/>
    <w:rsid w:val="00EB2086"/>
    <w:rsid w:val="00EB31ED"/>
    <w:rsid w:val="00EB5EDF"/>
    <w:rsid w:val="00EB60FE"/>
    <w:rsid w:val="00EB74DB"/>
    <w:rsid w:val="00EC5359"/>
    <w:rsid w:val="00EC562A"/>
    <w:rsid w:val="00EC57A3"/>
    <w:rsid w:val="00ED067A"/>
    <w:rsid w:val="00ED2B50"/>
    <w:rsid w:val="00EE0350"/>
    <w:rsid w:val="00EE0719"/>
    <w:rsid w:val="00EE0E80"/>
    <w:rsid w:val="00EE1E54"/>
    <w:rsid w:val="00EE613F"/>
    <w:rsid w:val="00EE6DFB"/>
    <w:rsid w:val="00EE7295"/>
    <w:rsid w:val="00EE7869"/>
    <w:rsid w:val="00EF054A"/>
    <w:rsid w:val="00EF2318"/>
    <w:rsid w:val="00EF25E4"/>
    <w:rsid w:val="00EF3235"/>
    <w:rsid w:val="00EF7E72"/>
    <w:rsid w:val="00F01D56"/>
    <w:rsid w:val="00F06D37"/>
    <w:rsid w:val="00F07B9D"/>
    <w:rsid w:val="00F11586"/>
    <w:rsid w:val="00F1183B"/>
    <w:rsid w:val="00F11BCC"/>
    <w:rsid w:val="00F11C9F"/>
    <w:rsid w:val="00F12263"/>
    <w:rsid w:val="00F1409D"/>
    <w:rsid w:val="00F14214"/>
    <w:rsid w:val="00F157A9"/>
    <w:rsid w:val="00F16F00"/>
    <w:rsid w:val="00F207DB"/>
    <w:rsid w:val="00F218CE"/>
    <w:rsid w:val="00F219E9"/>
    <w:rsid w:val="00F25BB6"/>
    <w:rsid w:val="00F26B7E"/>
    <w:rsid w:val="00F27A3B"/>
    <w:rsid w:val="00F32780"/>
    <w:rsid w:val="00F33817"/>
    <w:rsid w:val="00F4195C"/>
    <w:rsid w:val="00F420D5"/>
    <w:rsid w:val="00F451EA"/>
    <w:rsid w:val="00F45447"/>
    <w:rsid w:val="00F456C6"/>
    <w:rsid w:val="00F4577B"/>
    <w:rsid w:val="00F46496"/>
    <w:rsid w:val="00F474D0"/>
    <w:rsid w:val="00F479FB"/>
    <w:rsid w:val="00F50179"/>
    <w:rsid w:val="00F515EE"/>
    <w:rsid w:val="00F52B38"/>
    <w:rsid w:val="00F56511"/>
    <w:rsid w:val="00F6194E"/>
    <w:rsid w:val="00F623AC"/>
    <w:rsid w:val="00F6412A"/>
    <w:rsid w:val="00F65893"/>
    <w:rsid w:val="00F66A4A"/>
    <w:rsid w:val="00F71DB6"/>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4D9"/>
    <w:rsid w:val="00FB0CB9"/>
    <w:rsid w:val="00FB231D"/>
    <w:rsid w:val="00FB45F1"/>
    <w:rsid w:val="00FB4A72"/>
    <w:rsid w:val="00FB54E8"/>
    <w:rsid w:val="00FB67A0"/>
    <w:rsid w:val="00FB7054"/>
    <w:rsid w:val="00FC17B7"/>
    <w:rsid w:val="00FC2CB7"/>
    <w:rsid w:val="00FC2EE8"/>
    <w:rsid w:val="00FC4090"/>
    <w:rsid w:val="00FC55B4"/>
    <w:rsid w:val="00FC5BA8"/>
    <w:rsid w:val="00FD00E6"/>
    <w:rsid w:val="00FD01FC"/>
    <w:rsid w:val="00FD09A1"/>
    <w:rsid w:val="00FD2A7C"/>
    <w:rsid w:val="00FD59EB"/>
    <w:rsid w:val="00FD7299"/>
    <w:rsid w:val="00FE1FBE"/>
    <w:rsid w:val="00FE3901"/>
    <w:rsid w:val="00FE39D3"/>
    <w:rsid w:val="00FE4BCE"/>
    <w:rsid w:val="00FE54AE"/>
    <w:rsid w:val="00FE576A"/>
    <w:rsid w:val="00FE7E79"/>
    <w:rsid w:val="00FF1616"/>
    <w:rsid w:val="00FF2959"/>
    <w:rsid w:val="00FF2E79"/>
    <w:rsid w:val="00FF3E7D"/>
    <w:rsid w:val="00FF5B99"/>
    <w:rsid w:val="00FF730C"/>
    <w:rsid w:val="00FF73F4"/>
    <w:rsid w:val="00FF7CE4"/>
    <w:rsid w:val="00FF7E39"/>
    <w:rsid w:val="012D79B3"/>
    <w:rsid w:val="016F4570"/>
    <w:rsid w:val="01CC5EE4"/>
    <w:rsid w:val="01D17056"/>
    <w:rsid w:val="02056D00"/>
    <w:rsid w:val="022C6982"/>
    <w:rsid w:val="028B5457"/>
    <w:rsid w:val="02AE55E9"/>
    <w:rsid w:val="033C2484"/>
    <w:rsid w:val="034C72DC"/>
    <w:rsid w:val="03577A2F"/>
    <w:rsid w:val="03C36E72"/>
    <w:rsid w:val="03E413E4"/>
    <w:rsid w:val="04425FE9"/>
    <w:rsid w:val="04DF5F2E"/>
    <w:rsid w:val="05192149"/>
    <w:rsid w:val="05EA06E6"/>
    <w:rsid w:val="062A142B"/>
    <w:rsid w:val="07A34FF1"/>
    <w:rsid w:val="07A54CCF"/>
    <w:rsid w:val="07CA07CF"/>
    <w:rsid w:val="07FC5336"/>
    <w:rsid w:val="08803584"/>
    <w:rsid w:val="08E458C1"/>
    <w:rsid w:val="094D16B8"/>
    <w:rsid w:val="095567BF"/>
    <w:rsid w:val="09C37BCC"/>
    <w:rsid w:val="09CB4CD3"/>
    <w:rsid w:val="0A287A2F"/>
    <w:rsid w:val="0A434869"/>
    <w:rsid w:val="0A56459C"/>
    <w:rsid w:val="0A6842D0"/>
    <w:rsid w:val="0AE55920"/>
    <w:rsid w:val="0B325009"/>
    <w:rsid w:val="0BC639A4"/>
    <w:rsid w:val="0C1C7A68"/>
    <w:rsid w:val="0C216E2C"/>
    <w:rsid w:val="0C436DA2"/>
    <w:rsid w:val="0C5A6CAD"/>
    <w:rsid w:val="0CEC568C"/>
    <w:rsid w:val="0D6276FC"/>
    <w:rsid w:val="0DEC33DE"/>
    <w:rsid w:val="0E603C3C"/>
    <w:rsid w:val="0E7B0A75"/>
    <w:rsid w:val="0EB6385C"/>
    <w:rsid w:val="0ED87C76"/>
    <w:rsid w:val="0F3B6457"/>
    <w:rsid w:val="0F451083"/>
    <w:rsid w:val="0F544C89"/>
    <w:rsid w:val="0F5B4403"/>
    <w:rsid w:val="101F30DA"/>
    <w:rsid w:val="10E70644"/>
    <w:rsid w:val="112076B2"/>
    <w:rsid w:val="11DF756D"/>
    <w:rsid w:val="11F823DD"/>
    <w:rsid w:val="1209283C"/>
    <w:rsid w:val="120D4D2C"/>
    <w:rsid w:val="123C2660"/>
    <w:rsid w:val="125A6BF4"/>
    <w:rsid w:val="12E0534B"/>
    <w:rsid w:val="13076D7C"/>
    <w:rsid w:val="135D699C"/>
    <w:rsid w:val="13B14F39"/>
    <w:rsid w:val="13B64361"/>
    <w:rsid w:val="147F6DE6"/>
    <w:rsid w:val="14CD5DA3"/>
    <w:rsid w:val="156811CF"/>
    <w:rsid w:val="165A3666"/>
    <w:rsid w:val="16F818E4"/>
    <w:rsid w:val="17285C48"/>
    <w:rsid w:val="17DC32D8"/>
    <w:rsid w:val="180E64B6"/>
    <w:rsid w:val="18552337"/>
    <w:rsid w:val="19145D4E"/>
    <w:rsid w:val="195C76F5"/>
    <w:rsid w:val="195E16BF"/>
    <w:rsid w:val="196F11D7"/>
    <w:rsid w:val="198527A8"/>
    <w:rsid w:val="19F636A6"/>
    <w:rsid w:val="1A8D3EEA"/>
    <w:rsid w:val="1B7A5039"/>
    <w:rsid w:val="1BAF1D5E"/>
    <w:rsid w:val="1C0E2F29"/>
    <w:rsid w:val="1C9C7069"/>
    <w:rsid w:val="1D2E600F"/>
    <w:rsid w:val="1D4E37AA"/>
    <w:rsid w:val="1E620F5C"/>
    <w:rsid w:val="1EB25197"/>
    <w:rsid w:val="1ED51161"/>
    <w:rsid w:val="1F996FAD"/>
    <w:rsid w:val="1FE741BD"/>
    <w:rsid w:val="205253AE"/>
    <w:rsid w:val="209F2C4D"/>
    <w:rsid w:val="20B02086"/>
    <w:rsid w:val="21986266"/>
    <w:rsid w:val="219E6AFD"/>
    <w:rsid w:val="222B4109"/>
    <w:rsid w:val="22792CA9"/>
    <w:rsid w:val="22835CF3"/>
    <w:rsid w:val="22B81E40"/>
    <w:rsid w:val="23005595"/>
    <w:rsid w:val="235A6A54"/>
    <w:rsid w:val="23627FFE"/>
    <w:rsid w:val="2383244E"/>
    <w:rsid w:val="23DF164F"/>
    <w:rsid w:val="23F76998"/>
    <w:rsid w:val="25207829"/>
    <w:rsid w:val="254774AC"/>
    <w:rsid w:val="25867FD4"/>
    <w:rsid w:val="262C6326"/>
    <w:rsid w:val="26FE003E"/>
    <w:rsid w:val="275F4790"/>
    <w:rsid w:val="27B16E5E"/>
    <w:rsid w:val="27D8263D"/>
    <w:rsid w:val="27E26FA8"/>
    <w:rsid w:val="29123E57"/>
    <w:rsid w:val="29183639"/>
    <w:rsid w:val="291E0523"/>
    <w:rsid w:val="29471828"/>
    <w:rsid w:val="2A1536D4"/>
    <w:rsid w:val="2AB47391"/>
    <w:rsid w:val="2BA56CDA"/>
    <w:rsid w:val="2BFD2672"/>
    <w:rsid w:val="2CA945A8"/>
    <w:rsid w:val="2D5A65F3"/>
    <w:rsid w:val="2D9D410D"/>
    <w:rsid w:val="2DBE22D5"/>
    <w:rsid w:val="2E6C3ADF"/>
    <w:rsid w:val="2EB77450"/>
    <w:rsid w:val="2F3E7229"/>
    <w:rsid w:val="2F6D5D61"/>
    <w:rsid w:val="2FB13E9F"/>
    <w:rsid w:val="30085A89"/>
    <w:rsid w:val="303D3985"/>
    <w:rsid w:val="30DC319E"/>
    <w:rsid w:val="30EE2ED1"/>
    <w:rsid w:val="310811F3"/>
    <w:rsid w:val="313A09AA"/>
    <w:rsid w:val="31DD5420"/>
    <w:rsid w:val="320F30FF"/>
    <w:rsid w:val="323B3EF4"/>
    <w:rsid w:val="32D3237F"/>
    <w:rsid w:val="32DA195F"/>
    <w:rsid w:val="33226E62"/>
    <w:rsid w:val="336A2CE3"/>
    <w:rsid w:val="336B6A5B"/>
    <w:rsid w:val="33723946"/>
    <w:rsid w:val="33DF6B01"/>
    <w:rsid w:val="34866D4D"/>
    <w:rsid w:val="34A264AC"/>
    <w:rsid w:val="34F12F90"/>
    <w:rsid w:val="35154ED0"/>
    <w:rsid w:val="35260E8C"/>
    <w:rsid w:val="35F965A0"/>
    <w:rsid w:val="363470C6"/>
    <w:rsid w:val="36AA1648"/>
    <w:rsid w:val="373F4487"/>
    <w:rsid w:val="375A4E1C"/>
    <w:rsid w:val="37A10C9D"/>
    <w:rsid w:val="37B01EA4"/>
    <w:rsid w:val="37BF7375"/>
    <w:rsid w:val="38B57157"/>
    <w:rsid w:val="391B05DB"/>
    <w:rsid w:val="392C27E9"/>
    <w:rsid w:val="3971469F"/>
    <w:rsid w:val="397D4DF2"/>
    <w:rsid w:val="39CE1AF2"/>
    <w:rsid w:val="39FD5F33"/>
    <w:rsid w:val="3A3C0EF2"/>
    <w:rsid w:val="3ACA22B9"/>
    <w:rsid w:val="3AD9074E"/>
    <w:rsid w:val="3B660234"/>
    <w:rsid w:val="3BF07AFD"/>
    <w:rsid w:val="3CE55188"/>
    <w:rsid w:val="3D373021"/>
    <w:rsid w:val="3D7D3613"/>
    <w:rsid w:val="3DCC5B01"/>
    <w:rsid w:val="3E7762B4"/>
    <w:rsid w:val="3EB94B1E"/>
    <w:rsid w:val="3FCC0C83"/>
    <w:rsid w:val="40644F5E"/>
    <w:rsid w:val="409D5D7A"/>
    <w:rsid w:val="40F167F2"/>
    <w:rsid w:val="41087067"/>
    <w:rsid w:val="413606A8"/>
    <w:rsid w:val="424A161E"/>
    <w:rsid w:val="43866F99"/>
    <w:rsid w:val="444E3F5B"/>
    <w:rsid w:val="44782D86"/>
    <w:rsid w:val="44D8697E"/>
    <w:rsid w:val="451707F1"/>
    <w:rsid w:val="45230F44"/>
    <w:rsid w:val="455B692F"/>
    <w:rsid w:val="45725A27"/>
    <w:rsid w:val="458F482B"/>
    <w:rsid w:val="45AF3AE3"/>
    <w:rsid w:val="464E1FF0"/>
    <w:rsid w:val="466E4989"/>
    <w:rsid w:val="46A32A32"/>
    <w:rsid w:val="46BA7686"/>
    <w:rsid w:val="46C6602A"/>
    <w:rsid w:val="46FF153C"/>
    <w:rsid w:val="474B4782"/>
    <w:rsid w:val="475950F1"/>
    <w:rsid w:val="475F3D89"/>
    <w:rsid w:val="477511F9"/>
    <w:rsid w:val="47863A0C"/>
    <w:rsid w:val="47D31E1A"/>
    <w:rsid w:val="47F24F0F"/>
    <w:rsid w:val="48007381"/>
    <w:rsid w:val="484C255F"/>
    <w:rsid w:val="497E0E3E"/>
    <w:rsid w:val="49C8030C"/>
    <w:rsid w:val="49D24CE6"/>
    <w:rsid w:val="4AE051E1"/>
    <w:rsid w:val="4B0B6C29"/>
    <w:rsid w:val="4B117A90"/>
    <w:rsid w:val="4B644064"/>
    <w:rsid w:val="4B8D5369"/>
    <w:rsid w:val="4C770472"/>
    <w:rsid w:val="4D301632"/>
    <w:rsid w:val="4D64034B"/>
    <w:rsid w:val="4D720CBA"/>
    <w:rsid w:val="4E30022D"/>
    <w:rsid w:val="4E792A0E"/>
    <w:rsid w:val="4EA76741"/>
    <w:rsid w:val="4EB42C0C"/>
    <w:rsid w:val="4EF94AC3"/>
    <w:rsid w:val="4F5F701C"/>
    <w:rsid w:val="501339DA"/>
    <w:rsid w:val="50AD025B"/>
    <w:rsid w:val="51335F3E"/>
    <w:rsid w:val="51516E38"/>
    <w:rsid w:val="518C7E71"/>
    <w:rsid w:val="51BC1787"/>
    <w:rsid w:val="51D27F79"/>
    <w:rsid w:val="51F003FF"/>
    <w:rsid w:val="51F779E0"/>
    <w:rsid w:val="5292203B"/>
    <w:rsid w:val="52BE7978"/>
    <w:rsid w:val="53000B16"/>
    <w:rsid w:val="537A2677"/>
    <w:rsid w:val="540957A8"/>
    <w:rsid w:val="54177EC5"/>
    <w:rsid w:val="545F186C"/>
    <w:rsid w:val="54C77062"/>
    <w:rsid w:val="54F5564F"/>
    <w:rsid w:val="54F75F49"/>
    <w:rsid w:val="557C7E48"/>
    <w:rsid w:val="55983288"/>
    <w:rsid w:val="55A0213D"/>
    <w:rsid w:val="56717635"/>
    <w:rsid w:val="567A473C"/>
    <w:rsid w:val="569A3030"/>
    <w:rsid w:val="56CA1CA8"/>
    <w:rsid w:val="570E771B"/>
    <w:rsid w:val="570F30D6"/>
    <w:rsid w:val="57B7551B"/>
    <w:rsid w:val="57BD2906"/>
    <w:rsid w:val="57E722A5"/>
    <w:rsid w:val="58B71C77"/>
    <w:rsid w:val="58CD4FF7"/>
    <w:rsid w:val="593908DE"/>
    <w:rsid w:val="593C217C"/>
    <w:rsid w:val="59705F60"/>
    <w:rsid w:val="597B2CA5"/>
    <w:rsid w:val="5A9378DF"/>
    <w:rsid w:val="5B590DC3"/>
    <w:rsid w:val="5BA65FD3"/>
    <w:rsid w:val="5CFB5EAA"/>
    <w:rsid w:val="5D02548B"/>
    <w:rsid w:val="5D101956"/>
    <w:rsid w:val="5D375134"/>
    <w:rsid w:val="5D704AEA"/>
    <w:rsid w:val="5D9E51B4"/>
    <w:rsid w:val="5DF50B4C"/>
    <w:rsid w:val="5DFC012C"/>
    <w:rsid w:val="5E77771D"/>
    <w:rsid w:val="5EEC1F4F"/>
    <w:rsid w:val="5EEE3F19"/>
    <w:rsid w:val="5F1A2F60"/>
    <w:rsid w:val="5F4A33E1"/>
    <w:rsid w:val="5F675708"/>
    <w:rsid w:val="60275DC6"/>
    <w:rsid w:val="60457B68"/>
    <w:rsid w:val="60471B32"/>
    <w:rsid w:val="60806DF2"/>
    <w:rsid w:val="60940AF0"/>
    <w:rsid w:val="60E05AE3"/>
    <w:rsid w:val="61371BA7"/>
    <w:rsid w:val="61A35B4E"/>
    <w:rsid w:val="622B7232"/>
    <w:rsid w:val="627E7362"/>
    <w:rsid w:val="62F51D1A"/>
    <w:rsid w:val="630006BE"/>
    <w:rsid w:val="64AC5DA7"/>
    <w:rsid w:val="64FB113D"/>
    <w:rsid w:val="650E0E71"/>
    <w:rsid w:val="666F1DE3"/>
    <w:rsid w:val="66D95112"/>
    <w:rsid w:val="680256B8"/>
    <w:rsid w:val="68522F5F"/>
    <w:rsid w:val="6A3C6480"/>
    <w:rsid w:val="6AB04609"/>
    <w:rsid w:val="6AF71B23"/>
    <w:rsid w:val="6AFA59F3"/>
    <w:rsid w:val="6B1940CB"/>
    <w:rsid w:val="6B6D6ED0"/>
    <w:rsid w:val="6BC6099C"/>
    <w:rsid w:val="6C643A6C"/>
    <w:rsid w:val="6C6B6BA9"/>
    <w:rsid w:val="6CAB3449"/>
    <w:rsid w:val="6CCE669D"/>
    <w:rsid w:val="6CD739C4"/>
    <w:rsid w:val="6CF92406"/>
    <w:rsid w:val="6D1C4347"/>
    <w:rsid w:val="6D1C60F5"/>
    <w:rsid w:val="6D203026"/>
    <w:rsid w:val="6D515497"/>
    <w:rsid w:val="6DB6785C"/>
    <w:rsid w:val="6E0948CB"/>
    <w:rsid w:val="6E0F7A08"/>
    <w:rsid w:val="6E510020"/>
    <w:rsid w:val="6F1572A0"/>
    <w:rsid w:val="6F6A1399"/>
    <w:rsid w:val="6FC50E0F"/>
    <w:rsid w:val="70C1148D"/>
    <w:rsid w:val="710542A6"/>
    <w:rsid w:val="71CE33FE"/>
    <w:rsid w:val="72B312A9"/>
    <w:rsid w:val="72B34E05"/>
    <w:rsid w:val="73005B71"/>
    <w:rsid w:val="7399224D"/>
    <w:rsid w:val="74055B35"/>
    <w:rsid w:val="74185868"/>
    <w:rsid w:val="742C4E6F"/>
    <w:rsid w:val="74732A9E"/>
    <w:rsid w:val="7544268D"/>
    <w:rsid w:val="755D72AA"/>
    <w:rsid w:val="757E5B9F"/>
    <w:rsid w:val="758111EB"/>
    <w:rsid w:val="76200A04"/>
    <w:rsid w:val="76393874"/>
    <w:rsid w:val="76595CC4"/>
    <w:rsid w:val="76B34DC5"/>
    <w:rsid w:val="772C64B4"/>
    <w:rsid w:val="77A551B3"/>
    <w:rsid w:val="78076BD2"/>
    <w:rsid w:val="7847671C"/>
    <w:rsid w:val="78CC0FF1"/>
    <w:rsid w:val="790C526F"/>
    <w:rsid w:val="792537F9"/>
    <w:rsid w:val="793E3D20"/>
    <w:rsid w:val="79A27982"/>
    <w:rsid w:val="79C124FE"/>
    <w:rsid w:val="79EA1A55"/>
    <w:rsid w:val="7A3E76AA"/>
    <w:rsid w:val="7A9E283F"/>
    <w:rsid w:val="7AA53BCD"/>
    <w:rsid w:val="7B30793B"/>
    <w:rsid w:val="7B3F5F83"/>
    <w:rsid w:val="7B810197"/>
    <w:rsid w:val="7B9C6D7F"/>
    <w:rsid w:val="7BA21EBB"/>
    <w:rsid w:val="7BA63759"/>
    <w:rsid w:val="7BD42F30"/>
    <w:rsid w:val="7C6333F8"/>
    <w:rsid w:val="7C957281"/>
    <w:rsid w:val="7CD10CAA"/>
    <w:rsid w:val="7CE107C1"/>
    <w:rsid w:val="7D16490F"/>
    <w:rsid w:val="7D657644"/>
    <w:rsid w:val="7E81225C"/>
    <w:rsid w:val="7FC7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0AF5CB6-26AD-411D-9EC5-3E1DB42D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Plain Text"/>
    <w:basedOn w:val="afff5"/>
    <w:link w:val="affff"/>
    <w:qFormat/>
    <w:pPr>
      <w:adjustRightInd/>
      <w:spacing w:line="240" w:lineRule="auto"/>
    </w:pPr>
    <w:rPr>
      <w:rFonts w:ascii="宋体" w:eastAsiaTheme="minorEastAsia" w:hAnsi="Courier New" w:cstheme="minorBidi"/>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Normal (Web)"/>
    <w:basedOn w:val="afff5"/>
    <w:qFormat/>
    <w:pPr>
      <w:adjustRightInd/>
      <w:spacing w:line="240" w:lineRule="auto"/>
    </w:pPr>
    <w:rPr>
      <w:rFonts w:asciiTheme="minorHAnsi" w:eastAsiaTheme="minorEastAsia" w:hAnsiTheme="minorHAnsi" w:cstheme="minorBidi"/>
      <w:sz w:val="24"/>
      <w:szCs w:val="24"/>
    </w:rPr>
  </w:style>
  <w:style w:type="paragraph" w:styleId="affffa">
    <w:name w:val="Title"/>
    <w:basedOn w:val="afff5"/>
    <w:link w:val="affffb"/>
    <w:qFormat/>
    <w:pPr>
      <w:spacing w:before="240" w:after="60"/>
      <w:jc w:val="center"/>
      <w:outlineLvl w:val="0"/>
    </w:pPr>
    <w:rPr>
      <w:rFonts w:ascii="Arial" w:hAnsi="Arial" w:cs="Arial"/>
      <w:b/>
      <w:bCs/>
      <w:sz w:val="32"/>
      <w:szCs w:val="32"/>
    </w:rPr>
  </w:style>
  <w:style w:type="paragraph" w:styleId="affffc">
    <w:name w:val="annotation subject"/>
    <w:basedOn w:val="afffa"/>
    <w:next w:val="afffa"/>
    <w:link w:val="affffd"/>
    <w:uiPriority w:val="99"/>
    <w:semiHidden/>
    <w:unhideWhenUsed/>
    <w:qFormat/>
    <w:rPr>
      <w:b/>
      <w:bCs/>
    </w:rPr>
  </w:style>
  <w:style w:type="table" w:styleId="affffe">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6"/>
    <w:uiPriority w:val="99"/>
    <w:semiHidden/>
    <w:unhideWhenUsed/>
    <w:qFormat/>
    <w:rPr>
      <w:sz w:val="21"/>
      <w:szCs w:val="21"/>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5">
    <w:name w:val="Quote"/>
    <w:basedOn w:val="afff5"/>
    <w:next w:val="afff5"/>
    <w:link w:val="afffff6"/>
    <w:uiPriority w:val="29"/>
    <w:qFormat/>
    <w:rPr>
      <w:i/>
      <w:iCs/>
      <w:color w:val="000000"/>
    </w:rPr>
  </w:style>
  <w:style w:type="character" w:customStyle="1" w:styleId="afffff6">
    <w:name w:val="引用 字符"/>
    <w:link w:val="afffff5"/>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7">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8">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9">
    <w:name w:val="标准文件_页脚偶数页"/>
    <w:qFormat/>
    <w:pPr>
      <w:ind w:left="198"/>
    </w:pPr>
    <w:rPr>
      <w:rFonts w:ascii="宋体"/>
      <w:sz w:val="18"/>
    </w:rPr>
  </w:style>
  <w:style w:type="paragraph" w:customStyle="1" w:styleId="afffffa">
    <w:name w:val="标准文件_页脚奇数页"/>
    <w:qFormat/>
    <w:pPr>
      <w:ind w:right="227"/>
      <w:jc w:val="right"/>
    </w:pPr>
    <w:rPr>
      <w:rFonts w:ascii="宋体"/>
      <w:sz w:val="18"/>
    </w:rPr>
  </w:style>
  <w:style w:type="paragraph" w:customStyle="1" w:styleId="afffffb">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c">
    <w:name w:val="标准文件_标准正文"/>
    <w:basedOn w:val="afff5"/>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5"/>
    <w:qFormat/>
    <w:pPr>
      <w:jc w:val="center"/>
    </w:pPr>
    <w:rPr>
      <w:rFonts w:ascii="黑体" w:eastAsia="黑体"/>
      <w:kern w:val="0"/>
      <w:sz w:val="44"/>
    </w:rPr>
  </w:style>
  <w:style w:type="paragraph" w:customStyle="1" w:styleId="affffff0">
    <w:name w:val="标准文件_标准代替"/>
    <w:basedOn w:val="afff5"/>
    <w:next w:val="afff5"/>
    <w:qFormat/>
    <w:pPr>
      <w:spacing w:line="310" w:lineRule="exact"/>
      <w:jc w:val="right"/>
    </w:pPr>
    <w:rPr>
      <w:rFonts w:ascii="宋体" w:hAnsi="宋体"/>
      <w:kern w:val="0"/>
    </w:rPr>
  </w:style>
  <w:style w:type="paragraph" w:customStyle="1" w:styleId="affffff1">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5"/>
    <w:qFormat/>
    <w:pPr>
      <w:jc w:val="left"/>
    </w:pPr>
  </w:style>
  <w:style w:type="paragraph" w:customStyle="1" w:styleId="affffff4">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d"/>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5">
    <w:name w:val="标准文件_发布"/>
    <w:qFormat/>
    <w:rPr>
      <w:rFonts w:ascii="黑体" w:eastAsia="黑体"/>
      <w:spacing w:val="0"/>
      <w:w w:val="100"/>
      <w:position w:val="3"/>
      <w:sz w:val="28"/>
    </w:rPr>
  </w:style>
  <w:style w:type="paragraph" w:customStyle="1" w:styleId="ad">
    <w:name w:val="标准文件_方框数字列项"/>
    <w:basedOn w:val="afffffd"/>
    <w:qFormat/>
    <w:pPr>
      <w:numPr>
        <w:numId w:val="3"/>
      </w:numPr>
      <w:ind w:firstLineChars="0" w:firstLine="0"/>
    </w:pPr>
  </w:style>
  <w:style w:type="paragraph" w:customStyle="1" w:styleId="affffff6">
    <w:name w:val="标准文件_封面标准编号"/>
    <w:basedOn w:val="afff5"/>
    <w:next w:val="affffff0"/>
    <w:qFormat/>
    <w:pPr>
      <w:spacing w:line="310" w:lineRule="exact"/>
      <w:jc w:val="right"/>
    </w:pPr>
    <w:rPr>
      <w:rFonts w:ascii="黑体" w:eastAsia="黑体"/>
      <w:kern w:val="0"/>
      <w:sz w:val="28"/>
    </w:rPr>
  </w:style>
  <w:style w:type="paragraph" w:customStyle="1" w:styleId="affffff7">
    <w:name w:val="标准文件_封面标准分类号"/>
    <w:basedOn w:val="afff5"/>
    <w:qFormat/>
    <w:rPr>
      <w:rFonts w:ascii="黑体" w:eastAsia="黑体"/>
      <w:b/>
      <w:kern w:val="0"/>
      <w:sz w:val="28"/>
    </w:rPr>
  </w:style>
  <w:style w:type="paragraph" w:customStyle="1" w:styleId="affffff8">
    <w:name w:val="标准文件_封面标准名称"/>
    <w:basedOn w:val="afff5"/>
    <w:qFormat/>
    <w:pPr>
      <w:spacing w:line="240" w:lineRule="auto"/>
      <w:jc w:val="center"/>
    </w:pPr>
    <w:rPr>
      <w:rFonts w:ascii="黑体" w:eastAsia="黑体"/>
      <w:kern w:val="0"/>
      <w:sz w:val="52"/>
    </w:rPr>
  </w:style>
  <w:style w:type="paragraph" w:customStyle="1" w:styleId="affffff9">
    <w:name w:val="标准文件_封面标准英文名称"/>
    <w:basedOn w:val="afff5"/>
    <w:qFormat/>
    <w:pPr>
      <w:spacing w:line="240" w:lineRule="auto"/>
      <w:jc w:val="center"/>
    </w:pPr>
    <w:rPr>
      <w:rFonts w:ascii="黑体" w:eastAsia="黑体"/>
      <w:b/>
      <w:sz w:val="28"/>
    </w:rPr>
  </w:style>
  <w:style w:type="paragraph" w:customStyle="1" w:styleId="affffffa">
    <w:name w:val="标准文件_封面发布日期"/>
    <w:basedOn w:val="afff5"/>
    <w:qFormat/>
    <w:pPr>
      <w:spacing w:line="310" w:lineRule="exact"/>
    </w:pPr>
    <w:rPr>
      <w:rFonts w:ascii="黑体" w:eastAsia="黑体"/>
      <w:kern w:val="0"/>
      <w:sz w:val="28"/>
    </w:rPr>
  </w:style>
  <w:style w:type="paragraph" w:customStyle="1" w:styleId="affffffb">
    <w:name w:val="标准文件_封面密级"/>
    <w:basedOn w:val="afff5"/>
    <w:qFormat/>
    <w:rPr>
      <w:rFonts w:eastAsia="黑体"/>
      <w:sz w:val="32"/>
    </w:rPr>
  </w:style>
  <w:style w:type="paragraph" w:customStyle="1" w:styleId="affffffc">
    <w:name w:val="标准文件_封面实施日期"/>
    <w:basedOn w:val="afff5"/>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d"/>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d"/>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d"/>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d"/>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d"/>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d"/>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d"/>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0">
    <w:name w:val="标准文件_公式后的破折号"/>
    <w:basedOn w:val="afffffd"/>
    <w:next w:val="afffffd"/>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1">
    <w:name w:val="标准文件_目次、标准名称标题"/>
    <w:basedOn w:val="a6"/>
    <w:next w:val="afffffd"/>
    <w:qFormat/>
    <w:pPr>
      <w:spacing w:line="460" w:lineRule="exact"/>
      <w:ind w:left="0" w:firstLine="0"/>
    </w:pPr>
  </w:style>
  <w:style w:type="paragraph" w:customStyle="1" w:styleId="afffffff2">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d"/>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3">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d"/>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4">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d"/>
    <w:qFormat/>
    <w:pPr>
      <w:numPr>
        <w:numId w:val="12"/>
      </w:numPr>
      <w:spacing w:line="240" w:lineRule="auto"/>
      <w:jc w:val="left"/>
    </w:pPr>
    <w:rPr>
      <w:rFonts w:ascii="宋体" w:hAnsi="宋体"/>
      <w:sz w:val="18"/>
    </w:rPr>
  </w:style>
  <w:style w:type="character" w:customStyle="1" w:styleId="afffffff5">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d"/>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d"/>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d"/>
    <w:qFormat/>
    <w:pPr>
      <w:numPr>
        <w:ilvl w:val="2"/>
      </w:numPr>
      <w:spacing w:beforeLines="50" w:before="50" w:afterLines="50" w:after="50"/>
      <w:outlineLvl w:val="1"/>
    </w:pPr>
  </w:style>
  <w:style w:type="paragraph" w:customStyle="1" w:styleId="afffffff6">
    <w:name w:val="标准文件_一致程度"/>
    <w:basedOn w:val="afff5"/>
    <w:qFormat/>
    <w:pPr>
      <w:spacing w:line="440" w:lineRule="exact"/>
      <w:jc w:val="center"/>
    </w:pPr>
    <w:rPr>
      <w:sz w:val="28"/>
    </w:rPr>
  </w:style>
  <w:style w:type="paragraph" w:customStyle="1" w:styleId="afffffff7">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8">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d"/>
    <w:qFormat/>
    <w:pPr>
      <w:numPr>
        <w:numId w:val="16"/>
      </w:numPr>
      <w:tabs>
        <w:tab w:val="left" w:pos="0"/>
      </w:tabs>
      <w:spacing w:beforeLines="50" w:before="50" w:afterLines="50" w:after="50"/>
      <w:jc w:val="center"/>
    </w:pPr>
    <w:rPr>
      <w:rFonts w:ascii="黑体" w:eastAsia="黑体"/>
      <w:sz w:val="21"/>
    </w:rPr>
  </w:style>
  <w:style w:type="paragraph" w:customStyle="1" w:styleId="afffffff9">
    <w:name w:val="标准文件_正文公式"/>
    <w:basedOn w:val="afff5"/>
    <w:next w:val="afffffc"/>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d"/>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d"/>
    <w:qFormat/>
    <w:pPr>
      <w:numPr>
        <w:numId w:val="18"/>
      </w:numPr>
      <w:jc w:val="center"/>
    </w:pPr>
    <w:rPr>
      <w:rFonts w:ascii="黑体" w:eastAsia="黑体"/>
      <w:sz w:val="21"/>
    </w:rPr>
  </w:style>
  <w:style w:type="paragraph" w:customStyle="1" w:styleId="afb">
    <w:name w:val="标准文件_正文英文图标题"/>
    <w:next w:val="afffffd"/>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a">
    <w:name w:val="发布部门"/>
    <w:next w:val="afffffd"/>
    <w:qFormat/>
    <w:pPr>
      <w:framePr w:w="7433" w:h="585" w:hRule="exact" w:hSpace="180" w:vSpace="180" w:wrap="around" w:hAnchor="margin" w:xAlign="center" w:y="14401" w:anchorLock="1"/>
      <w:jc w:val="center"/>
    </w:pPr>
    <w:rPr>
      <w:rFonts w:ascii="宋体"/>
      <w:b/>
      <w:w w:val="135"/>
      <w:sz w:val="36"/>
    </w:rPr>
  </w:style>
  <w:style w:type="paragraph" w:customStyle="1" w:styleId="afffffffb">
    <w:name w:val="发布日期"/>
    <w:qFormat/>
    <w:pPr>
      <w:framePr w:w="4000" w:h="473" w:hRule="exact" w:hSpace="180" w:vSpace="180" w:wrap="around" w:hAnchor="margin" w:y="13511" w:anchorLock="1"/>
    </w:pPr>
    <w:rPr>
      <w:rFonts w:eastAsia="黑体"/>
      <w:sz w:val="28"/>
    </w:rPr>
  </w:style>
  <w:style w:type="paragraph" w:customStyle="1" w:styleId="afffffffc">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e">
    <w:name w:val="封面标准文稿编辑信息"/>
    <w:qFormat/>
    <w:pPr>
      <w:spacing w:before="180" w:line="180" w:lineRule="exact"/>
      <w:jc w:val="center"/>
    </w:pPr>
    <w:rPr>
      <w:rFonts w:ascii="宋体"/>
      <w:sz w:val="21"/>
    </w:rPr>
  </w:style>
  <w:style w:type="paragraph" w:customStyle="1" w:styleId="affffffff">
    <w:name w:val="封面标准文稿类别"/>
    <w:qFormat/>
    <w:pPr>
      <w:spacing w:before="440" w:line="400" w:lineRule="exact"/>
      <w:jc w:val="center"/>
    </w:pPr>
    <w:rPr>
      <w:rFonts w:ascii="宋体"/>
      <w:sz w:val="24"/>
    </w:rPr>
  </w:style>
  <w:style w:type="paragraph" w:customStyle="1" w:styleId="affffffff0">
    <w:name w:val="封面标准英文名称"/>
    <w:qFormat/>
    <w:pPr>
      <w:widowControl w:val="0"/>
      <w:spacing w:line="360" w:lineRule="exact"/>
      <w:jc w:val="center"/>
    </w:pPr>
    <w:rPr>
      <w:sz w:val="28"/>
    </w:rPr>
  </w:style>
  <w:style w:type="paragraph" w:customStyle="1" w:styleId="affffffff1">
    <w:name w:val="封面一致性程度标识"/>
    <w:qFormat/>
    <w:pPr>
      <w:spacing w:before="440" w:line="440" w:lineRule="exact"/>
      <w:jc w:val="center"/>
    </w:pPr>
    <w:rPr>
      <w:sz w:val="28"/>
    </w:rPr>
  </w:style>
  <w:style w:type="paragraph" w:customStyle="1" w:styleId="affffffff2">
    <w:name w:val="封面正文"/>
    <w:qFormat/>
    <w:pPr>
      <w:jc w:val="both"/>
    </w:pPr>
  </w:style>
  <w:style w:type="paragraph" w:customStyle="1" w:styleId="affffffff3">
    <w:name w:val="附录二级无标题条"/>
    <w:basedOn w:val="afff5"/>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qFormat/>
    <w:pPr>
      <w:outlineLvl w:val="4"/>
    </w:pPr>
  </w:style>
  <w:style w:type="paragraph" w:customStyle="1" w:styleId="affffffff5">
    <w:name w:val="附录四级无标题条"/>
    <w:basedOn w:val="affffffff4"/>
    <w:next w:val="afffffd"/>
    <w:qFormat/>
    <w:pPr>
      <w:outlineLvl w:val="5"/>
    </w:pPr>
  </w:style>
  <w:style w:type="paragraph" w:customStyle="1" w:styleId="affffffff6">
    <w:name w:val="附录图"/>
    <w:next w:val="afffffd"/>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5"/>
    <w:qFormat/>
    <w:pPr>
      <w:widowControl/>
      <w:adjustRightInd/>
      <w:jc w:val="center"/>
    </w:pPr>
    <w:rPr>
      <w:rFonts w:ascii="黑体" w:eastAsia="黑体"/>
    </w:rPr>
  </w:style>
  <w:style w:type="paragraph" w:customStyle="1" w:styleId="affffffff9">
    <w:name w:val="附录一级无标题条"/>
    <w:basedOn w:val="afffffff"/>
    <w:next w:val="afffffd"/>
    <w:qFormat/>
    <w:pPr>
      <w:autoSpaceDN w:val="0"/>
      <w:outlineLvl w:val="2"/>
    </w:pPr>
    <w:rPr>
      <w:rFonts w:ascii="宋体" w:eastAsia="宋体" w:hAnsi="宋体"/>
    </w:rPr>
  </w:style>
  <w:style w:type="character" w:customStyle="1" w:styleId="affffffffa">
    <w:name w:val="个人答复风格"/>
    <w:qFormat/>
    <w:rPr>
      <w:rFonts w:ascii="Arial" w:eastAsia="宋体" w:hAnsi="Arial" w:cs="Arial"/>
      <w:color w:val="auto"/>
      <w:spacing w:val="0"/>
      <w:sz w:val="20"/>
    </w:rPr>
  </w:style>
  <w:style w:type="character" w:customStyle="1" w:styleId="affffffffb">
    <w:name w:val="个人撰写风格"/>
    <w:qFormat/>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d">
    <w:name w:val="列项·"/>
    <w:basedOn w:val="afffffd"/>
    <w:qFormat/>
    <w:pPr>
      <w:tabs>
        <w:tab w:val="left" w:pos="840"/>
      </w:tabs>
    </w:pPr>
  </w:style>
  <w:style w:type="paragraph" w:customStyle="1" w:styleId="affffffffe">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
    <w:name w:val="其他标准称谓"/>
    <w:qFormat/>
    <w:pPr>
      <w:spacing w:line="0" w:lineRule="atLeast"/>
      <w:jc w:val="distribute"/>
    </w:pPr>
    <w:rPr>
      <w:rFonts w:ascii="黑体" w:eastAsia="黑体" w:hAnsi="宋体"/>
      <w:sz w:val="52"/>
    </w:rPr>
  </w:style>
  <w:style w:type="paragraph" w:customStyle="1" w:styleId="afffffffff0">
    <w:name w:val="其他发布部门"/>
    <w:basedOn w:val="afffffffa"/>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d"/>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sz w:val="18"/>
    </w:rPr>
  </w:style>
  <w:style w:type="paragraph" w:customStyle="1" w:styleId="afffffffff5">
    <w:name w:val="注×:后续"/>
    <w:basedOn w:val="afffffffff4"/>
    <w:qFormat/>
    <w:pPr>
      <w:ind w:leftChars="0" w:left="1406" w:firstLineChars="0" w:hanging="499"/>
    </w:pPr>
  </w:style>
  <w:style w:type="paragraph" w:customStyle="1" w:styleId="afffffffff6">
    <w:name w:val="标准文件_一级无标题"/>
    <w:basedOn w:val="affd"/>
    <w:qFormat/>
    <w:pPr>
      <w:spacing w:beforeLines="0" w:before="0" w:afterLines="0" w:after="0"/>
      <w:outlineLvl w:val="9"/>
    </w:pPr>
    <w:rPr>
      <w:rFonts w:ascii="宋体" w:eastAsia="宋体"/>
    </w:rPr>
  </w:style>
  <w:style w:type="paragraph" w:customStyle="1" w:styleId="afffffffff7">
    <w:name w:val="标准文件_五级无标题"/>
    <w:basedOn w:val="afff1"/>
    <w:qFormat/>
    <w:pPr>
      <w:spacing w:beforeLines="0" w:before="0" w:afterLines="0" w:after="0"/>
      <w:outlineLvl w:val="9"/>
    </w:pPr>
    <w:rPr>
      <w:rFonts w:ascii="宋体" w:eastAsia="宋体"/>
    </w:rPr>
  </w:style>
  <w:style w:type="paragraph" w:customStyle="1" w:styleId="afffffffff8">
    <w:name w:val="标准文件_三级无标题"/>
    <w:basedOn w:val="afff"/>
    <w:qFormat/>
    <w:pPr>
      <w:spacing w:beforeLines="0" w:before="0" w:afterLines="0" w:after="0"/>
      <w:outlineLvl w:val="9"/>
    </w:pPr>
    <w:rPr>
      <w:rFonts w:ascii="宋体" w:eastAsia="宋体"/>
    </w:rPr>
  </w:style>
  <w:style w:type="paragraph" w:customStyle="1" w:styleId="afffffffff9">
    <w:name w:val="标准文件_二级无标题"/>
    <w:basedOn w:val="affe"/>
    <w:qFormat/>
    <w:pPr>
      <w:spacing w:beforeLines="0" w:before="0" w:afterLines="0" w:after="0"/>
      <w:outlineLvl w:val="9"/>
    </w:pPr>
    <w:rPr>
      <w:rFonts w:ascii="宋体" w:eastAsia="宋体"/>
    </w:rPr>
  </w:style>
  <w:style w:type="paragraph" w:customStyle="1" w:styleId="afffffffffa">
    <w:name w:val="标准_四级无标题"/>
    <w:basedOn w:val="afff0"/>
    <w:next w:val="afffffd"/>
    <w:qFormat/>
    <w:rPr>
      <w:rFonts w:eastAsia="宋体"/>
    </w:rPr>
  </w:style>
  <w:style w:type="paragraph" w:customStyle="1" w:styleId="afffffffffb">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3"/>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d"/>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2">
    <w:name w:val="标准文件_注："/>
    <w:next w:val="afffffd"/>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2"/>
    <w:qFormat/>
    <w:pPr>
      <w:widowControl w:val="0"/>
      <w:numPr>
        <w:numId w:val="28"/>
      </w:numPr>
      <w:jc w:val="both"/>
    </w:pPr>
    <w:rPr>
      <w:rFonts w:ascii="宋体"/>
      <w:sz w:val="18"/>
      <w:szCs w:val="18"/>
    </w:rPr>
  </w:style>
  <w:style w:type="paragraph" w:customStyle="1" w:styleId="affffffffff2">
    <w:name w:val="标准文件_示例内容"/>
    <w:basedOn w:val="afffffd"/>
    <w:qFormat/>
    <w:pPr>
      <w:ind w:firstLine="420"/>
    </w:pPr>
    <w:rPr>
      <w:sz w:val="18"/>
    </w:rPr>
  </w:style>
  <w:style w:type="paragraph" w:customStyle="1" w:styleId="afa">
    <w:name w:val="标准文件_示例×："/>
    <w:basedOn w:val="afff5"/>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6"/>
    <w:uiPriority w:val="99"/>
    <w:semiHidden/>
    <w:qFormat/>
    <w:rPr>
      <w:color w:val="808080"/>
    </w:rPr>
  </w:style>
  <w:style w:type="paragraph" w:customStyle="1" w:styleId="2">
    <w:name w:val="标准文件_二级项2"/>
    <w:basedOn w:val="afffffd"/>
    <w:qFormat/>
    <w:pPr>
      <w:numPr>
        <w:ilvl w:val="1"/>
        <w:numId w:val="21"/>
      </w:numPr>
      <w:ind w:firstLineChars="0" w:firstLine="0"/>
    </w:pPr>
  </w:style>
  <w:style w:type="paragraph" w:customStyle="1" w:styleId="21">
    <w:name w:val="标准文件_三级项2"/>
    <w:basedOn w:val="afffffd"/>
    <w:qFormat/>
    <w:pPr>
      <w:numPr>
        <w:numId w:val="30"/>
      </w:numPr>
      <w:spacing w:line="300" w:lineRule="exact"/>
      <w:ind w:firstLineChars="0"/>
    </w:pPr>
    <w:rPr>
      <w:rFonts w:ascii="Times New Roman"/>
    </w:rPr>
  </w:style>
  <w:style w:type="paragraph" w:customStyle="1" w:styleId="20">
    <w:name w:val="标准文件_一级项2"/>
    <w:basedOn w:val="afffffd"/>
    <w:qFormat/>
    <w:pPr>
      <w:numPr>
        <w:numId w:val="31"/>
      </w:numPr>
      <w:spacing w:line="300" w:lineRule="exact"/>
      <w:ind w:firstLineChars="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6"/>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before="50" w:afterLines="50" w:after="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1">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2">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3">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4">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5">
    <w:name w:val="标准文件_引言一级无标题"/>
    <w:basedOn w:val="a7"/>
    <w:next w:val="afffffd"/>
    <w:qFormat/>
    <w:pPr>
      <w:spacing w:beforeLines="0" w:before="0" w:afterLines="0" w:after="0" w:line="276" w:lineRule="auto"/>
    </w:pPr>
    <w:rPr>
      <w:rFonts w:ascii="宋体" w:eastAsia="宋体"/>
    </w:rPr>
  </w:style>
  <w:style w:type="paragraph" w:customStyle="1" w:styleId="afffffffffff6">
    <w:name w:val="标准文件_引言二级无标题"/>
    <w:basedOn w:val="a8"/>
    <w:next w:val="afffffd"/>
    <w:qFormat/>
    <w:pPr>
      <w:spacing w:beforeLines="0" w:before="0" w:afterLines="0" w:after="0" w:line="276" w:lineRule="auto"/>
    </w:pPr>
    <w:rPr>
      <w:rFonts w:ascii="宋体" w:eastAsia="宋体"/>
    </w:rPr>
  </w:style>
  <w:style w:type="paragraph" w:customStyle="1" w:styleId="afffffffffff7">
    <w:name w:val="标准文件_引言三级无标题"/>
    <w:basedOn w:val="a9"/>
    <w:qFormat/>
    <w:pPr>
      <w:spacing w:beforeLines="0" w:before="0" w:afterLines="0" w:after="0" w:line="276" w:lineRule="auto"/>
    </w:pPr>
    <w:rPr>
      <w:rFonts w:ascii="宋体" w:eastAsia="宋体"/>
    </w:rPr>
  </w:style>
  <w:style w:type="paragraph" w:customStyle="1" w:styleId="afffffffffff8">
    <w:name w:val="标准文件_引言四级无标题"/>
    <w:basedOn w:val="aa"/>
    <w:next w:val="afffffd"/>
    <w:qFormat/>
    <w:pPr>
      <w:spacing w:beforeLines="0" w:before="0" w:afterLines="0" w:after="0" w:line="276" w:lineRule="auto"/>
    </w:pPr>
    <w:rPr>
      <w:rFonts w:ascii="宋体" w:eastAsia="宋体"/>
    </w:rPr>
  </w:style>
  <w:style w:type="paragraph" w:customStyle="1" w:styleId="afffffffffff9">
    <w:name w:val="标准文件_引言五级无标题"/>
    <w:basedOn w:val="ab"/>
    <w:next w:val="afffffd"/>
    <w:qFormat/>
    <w:pPr>
      <w:spacing w:beforeLines="0" w:before="0" w:afterLines="0" w:after="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d">
    <w:name w:val="批注主题 字符"/>
    <w:basedOn w:val="afffb"/>
    <w:link w:val="affffc"/>
    <w:uiPriority w:val="99"/>
    <w:semiHidden/>
    <w:qFormat/>
    <w:rPr>
      <w:rFonts w:ascii="Calibri" w:hAnsi="Calibri"/>
      <w:b/>
      <w:bCs/>
      <w:kern w:val="2"/>
      <w:sz w:val="21"/>
      <w:szCs w:val="21"/>
    </w:rPr>
  </w:style>
  <w:style w:type="paragraph" w:styleId="affffffffffff2">
    <w:name w:val="Intense Quote"/>
    <w:basedOn w:val="afff5"/>
    <w:next w:val="afff5"/>
    <w:link w:val="affffffffffff3"/>
    <w:uiPriority w:val="30"/>
    <w:qFormat/>
    <w:pPr>
      <w:pBdr>
        <w:top w:val="single" w:sz="4" w:space="10" w:color="2F5496" w:themeColor="accent1" w:themeShade="BF"/>
        <w:bottom w:val="single" w:sz="4" w:space="10" w:color="2F5496" w:themeColor="accent1" w:themeShade="BF"/>
      </w:pBdr>
      <w:adjustRightInd/>
      <w:spacing w:before="360" w:after="360" w:line="520" w:lineRule="exact"/>
      <w:ind w:left="864" w:right="864"/>
      <w:jc w:val="center"/>
    </w:pPr>
    <w:rPr>
      <w:rFonts w:ascii="Times New Roman" w:hAnsi="Times New Roman"/>
      <w:i/>
      <w:iCs/>
      <w:color w:val="2F5496" w:themeColor="accent1" w:themeShade="BF"/>
      <w:sz w:val="28"/>
      <w:szCs w:val="24"/>
    </w:rPr>
  </w:style>
  <w:style w:type="character" w:customStyle="1" w:styleId="affffffffffff3">
    <w:name w:val="明显引用 字符"/>
    <w:basedOn w:val="afff6"/>
    <w:link w:val="affffffffffff2"/>
    <w:uiPriority w:val="30"/>
    <w:qFormat/>
    <w:rPr>
      <w:i/>
      <w:iCs/>
      <w:color w:val="2F5496" w:themeColor="accent1" w:themeShade="BF"/>
      <w:kern w:val="2"/>
      <w:sz w:val="28"/>
      <w:szCs w:val="24"/>
    </w:rPr>
  </w:style>
  <w:style w:type="table" w:customStyle="1" w:styleId="TableNormal">
    <w:name w:val="Table Normal"/>
    <w:semiHidden/>
    <w:qFormat/>
    <w:tblPr>
      <w:tblCellMar>
        <w:top w:w="0" w:type="dxa"/>
        <w:left w:w="0" w:type="dxa"/>
        <w:bottom w:w="0" w:type="dxa"/>
        <w:right w:w="0" w:type="dxa"/>
      </w:tblCellMar>
    </w:tblPr>
  </w:style>
  <w:style w:type="character" w:customStyle="1" w:styleId="font61">
    <w:name w:val="font61"/>
    <w:basedOn w:val="afff6"/>
    <w:qFormat/>
    <w:rPr>
      <w:rFonts w:ascii="宋体" w:eastAsia="宋体" w:hAnsi="宋体" w:cs="宋体"/>
      <w:color w:val="000000"/>
      <w:sz w:val="16"/>
      <w:szCs w:val="16"/>
      <w:u w:val="none"/>
    </w:rPr>
  </w:style>
  <w:style w:type="character" w:customStyle="1" w:styleId="font31">
    <w:name w:val="font31"/>
    <w:basedOn w:val="afff6"/>
    <w:qFormat/>
    <w:rPr>
      <w:rFonts w:ascii="宋体" w:eastAsia="宋体" w:hAnsi="宋体" w:cs="宋体"/>
      <w:b/>
      <w:bCs/>
      <w:color w:val="000000"/>
      <w:sz w:val="16"/>
      <w:szCs w:val="16"/>
      <w:u w:val="none"/>
    </w:rPr>
  </w:style>
  <w:style w:type="character" w:customStyle="1" w:styleId="affff">
    <w:name w:val="纯文本 字符"/>
    <w:basedOn w:val="afff6"/>
    <w:link w:val="afffe"/>
    <w:qFormat/>
    <w:rPr>
      <w:rFonts w:ascii="宋体" w:eastAsiaTheme="minorEastAsia" w:hAnsi="Courier New" w:cstheme="minorBidi"/>
      <w:kern w:val="2"/>
      <w:sz w:val="21"/>
      <w:szCs w:val="21"/>
    </w:rPr>
  </w:style>
  <w:style w:type="paragraph" w:styleId="affffffffffff4">
    <w:name w:val="List Paragraph"/>
    <w:basedOn w:val="afff5"/>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header" Target="header19.xml"/><Relationship Id="rId50" Type="http://schemas.openxmlformats.org/officeDocument/2006/relationships/image" Target="media/image3.jpeg"/><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header" Target="head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54"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yperlink" Target="https://baike.baidu.com/item/%E8%89%BE%E8%80%83%E6%81%A9%E4%B8%99%E6%9B%BF%E7%89%87/23512395?fromModule=lemma_inlink" TargetMode="External"/><Relationship Id="rId40" Type="http://schemas.openxmlformats.org/officeDocument/2006/relationships/footer" Target="footer14.xml"/><Relationship Id="rId45" Type="http://schemas.openxmlformats.org/officeDocument/2006/relationships/footer" Target="footer17.xml"/><Relationship Id="rId53" Type="http://schemas.openxmlformats.org/officeDocument/2006/relationships/footer" Target="footer2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19.xml"/><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header" Target="header2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footer" Target="footer18.xml"/><Relationship Id="rId56"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header" Target="header20.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80BDE03F684683BD9CC12748B47287"/>
        <w:category>
          <w:name w:val="常规"/>
          <w:gallery w:val="placeholder"/>
        </w:category>
        <w:types>
          <w:type w:val="bbPlcHdr"/>
        </w:types>
        <w:behaviors>
          <w:behavior w:val="content"/>
        </w:behaviors>
        <w:guid w:val="{750270BF-31A5-420C-BB7E-BF2E5E8DA200}"/>
      </w:docPartPr>
      <w:docPartBody>
        <w:p w:rsidR="005A14AD" w:rsidRDefault="00210E22">
          <w:pPr>
            <w:pStyle w:val="6E80BDE03F684683BD9CC12748B47287"/>
          </w:pPr>
          <w:r>
            <w:rPr>
              <w:rStyle w:val="a3"/>
              <w:rFonts w:hint="eastAsia"/>
            </w:rPr>
            <w:t>单击或点击此处输入文字。</w:t>
          </w:r>
        </w:p>
      </w:docPartBody>
    </w:docPart>
    <w:docPart>
      <w:docPartPr>
        <w:name w:val="BEE95EDDBAF34893BFB80B7EA00E2CCE"/>
        <w:category>
          <w:name w:val="常规"/>
          <w:gallery w:val="placeholder"/>
        </w:category>
        <w:types>
          <w:type w:val="bbPlcHdr"/>
        </w:types>
        <w:behaviors>
          <w:behavior w:val="content"/>
        </w:behaviors>
        <w:guid w:val="{22B7FB4B-0F69-4F2C-9F36-9EAFDC0AE5E7}"/>
      </w:docPartPr>
      <w:docPartBody>
        <w:p w:rsidR="005A14AD" w:rsidRDefault="00210E22">
          <w:pPr>
            <w:pStyle w:val="BEE95EDDBAF34893BFB80B7EA00E2CCE"/>
          </w:pPr>
          <w:r>
            <w:rPr>
              <w:rStyle w:val="a3"/>
              <w:rFonts w:hint="eastAsia"/>
            </w:rPr>
            <w:t>选择一项。</w:t>
          </w:r>
        </w:p>
      </w:docPartBody>
    </w:docPart>
    <w:docPart>
      <w:docPartPr>
        <w:name w:val="7AAB426371444A008D6BBFCD449F4DB3"/>
        <w:category>
          <w:name w:val="常规"/>
          <w:gallery w:val="placeholder"/>
        </w:category>
        <w:types>
          <w:type w:val="bbPlcHdr"/>
        </w:types>
        <w:behaviors>
          <w:behavior w:val="content"/>
        </w:behaviors>
        <w:guid w:val="{17C808DE-E923-43F9-B4B4-A22C3B4727EB}"/>
      </w:docPartPr>
      <w:docPartBody>
        <w:p w:rsidR="005A14AD" w:rsidRDefault="00210E22">
          <w:pPr>
            <w:pStyle w:val="7AAB426371444A008D6BBFCD449F4D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黑体y....."/>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亰.."/>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08"/>
    <w:rsid w:val="000D5B2E"/>
    <w:rsid w:val="00124D7F"/>
    <w:rsid w:val="001E0A93"/>
    <w:rsid w:val="001F5456"/>
    <w:rsid w:val="00210E22"/>
    <w:rsid w:val="00226D0E"/>
    <w:rsid w:val="0027028E"/>
    <w:rsid w:val="002F1748"/>
    <w:rsid w:val="00376C47"/>
    <w:rsid w:val="003B5C45"/>
    <w:rsid w:val="00446BD1"/>
    <w:rsid w:val="004A2AF5"/>
    <w:rsid w:val="004A36E3"/>
    <w:rsid w:val="004F5909"/>
    <w:rsid w:val="00502420"/>
    <w:rsid w:val="00541A53"/>
    <w:rsid w:val="005831D6"/>
    <w:rsid w:val="005A14AD"/>
    <w:rsid w:val="00615B0F"/>
    <w:rsid w:val="00620C0F"/>
    <w:rsid w:val="006231E2"/>
    <w:rsid w:val="00652A8E"/>
    <w:rsid w:val="00692A22"/>
    <w:rsid w:val="007929A3"/>
    <w:rsid w:val="00812C43"/>
    <w:rsid w:val="008341CF"/>
    <w:rsid w:val="00853154"/>
    <w:rsid w:val="00881EEF"/>
    <w:rsid w:val="008E3015"/>
    <w:rsid w:val="008E74F0"/>
    <w:rsid w:val="00A02308"/>
    <w:rsid w:val="00A10255"/>
    <w:rsid w:val="00A67254"/>
    <w:rsid w:val="00AC1C4A"/>
    <w:rsid w:val="00AC70EC"/>
    <w:rsid w:val="00B0774D"/>
    <w:rsid w:val="00BF27DD"/>
    <w:rsid w:val="00C01FCF"/>
    <w:rsid w:val="00C02671"/>
    <w:rsid w:val="00C479BB"/>
    <w:rsid w:val="00CD55FE"/>
    <w:rsid w:val="00D67CE6"/>
    <w:rsid w:val="00DA26CA"/>
    <w:rsid w:val="00E65C35"/>
    <w:rsid w:val="00EC37FD"/>
    <w:rsid w:val="00ED5822"/>
    <w:rsid w:val="00EF14DB"/>
    <w:rsid w:val="00F43800"/>
    <w:rsid w:val="00FA4BD6"/>
    <w:rsid w:val="00FB3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80BDE03F684683BD9CC12748B47287">
    <w:name w:val="6E80BDE03F684683BD9CC12748B47287"/>
    <w:qFormat/>
    <w:pPr>
      <w:widowControl w:val="0"/>
      <w:jc w:val="both"/>
    </w:pPr>
    <w:rPr>
      <w:kern w:val="2"/>
      <w:sz w:val="21"/>
      <w:szCs w:val="22"/>
    </w:rPr>
  </w:style>
  <w:style w:type="paragraph" w:customStyle="1" w:styleId="BEE95EDDBAF34893BFB80B7EA00E2CCE">
    <w:name w:val="BEE95EDDBAF34893BFB80B7EA00E2CCE"/>
    <w:qFormat/>
    <w:pPr>
      <w:widowControl w:val="0"/>
      <w:jc w:val="both"/>
    </w:pPr>
    <w:rPr>
      <w:kern w:val="2"/>
      <w:sz w:val="21"/>
      <w:szCs w:val="22"/>
    </w:rPr>
  </w:style>
  <w:style w:type="paragraph" w:customStyle="1" w:styleId="7AAB426371444A008D6BBFCD449F4DB3">
    <w:name w:val="7AAB426371444A008D6BBFCD449F4DB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B2CCA6-FFC7-4344-BF07-A9AC009B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TotalTime>
  <Pages>23</Pages>
  <Words>3229</Words>
  <Characters>18406</Characters>
  <Application>Microsoft Office Word</Application>
  <DocSecurity>0</DocSecurity>
  <Lines>153</Lines>
  <Paragraphs>43</Paragraphs>
  <ScaleCrop>false</ScaleCrop>
  <Company>PCMI</Company>
  <LinksUpToDate>false</LinksUpToDate>
  <CharactersWithSpaces>21592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cp:lastModifiedBy>Administrator</cp:lastModifiedBy>
  <cp:revision>4</cp:revision>
  <cp:lastPrinted>2021-02-02T08:22:00Z</cp:lastPrinted>
  <dcterms:created xsi:type="dcterms:W3CDTF">2026-03-23T08:24:00Z</dcterms:created>
  <dcterms:modified xsi:type="dcterms:W3CDTF">2026-03-23T10:08:00Z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1EE8B25AD46E4BB7BBE46E27036E71F9_12</vt:lpwstr>
  </property>
  <property fmtid="{D5CDD505-2E9C-101B-9397-08002B2CF9AE}" pid="17" name="KSOTemplateDocerSaveRecord">
    <vt:lpwstr>eyJoZGlkIjoiZDBjZjRlOTc1ZjQwOWVhMjZmZjRlZmVhYjgxZjAzODEiLCJ1c2VySWQiOiIxNTc4NzYzNTgzIn0=</vt:lpwstr>
  </property>
</Properties>
</file>